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40A78" w14:textId="51FCBF39" w:rsidR="00DB5F91" w:rsidRPr="00FE224F" w:rsidRDefault="00DB5F91" w:rsidP="00020D29">
      <w:pPr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24F">
        <w:rPr>
          <w:rFonts w:ascii="Times New Roman" w:hAnsi="Times New Roman" w:cs="Times New Roman"/>
          <w:b/>
          <w:sz w:val="24"/>
          <w:szCs w:val="24"/>
        </w:rPr>
        <w:t xml:space="preserve">Ключевой информационный документ </w:t>
      </w:r>
      <w:r w:rsidR="00020D29">
        <w:rPr>
          <w:rFonts w:ascii="Times New Roman" w:hAnsi="Times New Roman" w:cs="Times New Roman"/>
          <w:b/>
          <w:sz w:val="24"/>
          <w:szCs w:val="24"/>
        </w:rPr>
        <w:br/>
      </w:r>
      <w:r w:rsidRPr="00FE224F">
        <w:rPr>
          <w:rFonts w:ascii="Times New Roman" w:hAnsi="Times New Roman" w:cs="Times New Roman"/>
          <w:b/>
          <w:sz w:val="24"/>
          <w:szCs w:val="24"/>
        </w:rPr>
        <w:t>по негосударст</w:t>
      </w:r>
      <w:r w:rsidR="00FE224F" w:rsidRPr="00FE224F">
        <w:rPr>
          <w:rFonts w:ascii="Times New Roman" w:hAnsi="Times New Roman" w:cs="Times New Roman"/>
          <w:b/>
          <w:sz w:val="24"/>
          <w:szCs w:val="24"/>
        </w:rPr>
        <w:t xml:space="preserve">венному пенсионному обеспечению </w:t>
      </w:r>
      <w:r w:rsidR="00020D29">
        <w:rPr>
          <w:rFonts w:ascii="Times New Roman" w:hAnsi="Times New Roman" w:cs="Times New Roman"/>
          <w:b/>
          <w:sz w:val="24"/>
          <w:szCs w:val="24"/>
        </w:rPr>
        <w:br/>
      </w:r>
      <w:r w:rsidRPr="00FE224F">
        <w:rPr>
          <w:rFonts w:ascii="Times New Roman" w:hAnsi="Times New Roman" w:cs="Times New Roman"/>
          <w:b/>
          <w:sz w:val="24"/>
          <w:szCs w:val="24"/>
        </w:rPr>
        <w:t xml:space="preserve">по договорам </w:t>
      </w:r>
      <w:r w:rsidR="00784BBD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784BBD" w:rsidRPr="00FE224F">
        <w:rPr>
          <w:rFonts w:ascii="Times New Roman" w:hAnsi="Times New Roman" w:cs="Times New Roman"/>
          <w:b/>
          <w:sz w:val="24"/>
          <w:szCs w:val="24"/>
        </w:rPr>
        <w:t>негосударственно</w:t>
      </w:r>
      <w:r w:rsidR="00784BBD">
        <w:rPr>
          <w:rFonts w:ascii="Times New Roman" w:hAnsi="Times New Roman" w:cs="Times New Roman"/>
          <w:b/>
          <w:sz w:val="24"/>
          <w:szCs w:val="24"/>
        </w:rPr>
        <w:t>м</w:t>
      </w:r>
      <w:r w:rsidR="00784BBD" w:rsidRPr="00FE224F">
        <w:rPr>
          <w:rFonts w:ascii="Times New Roman" w:hAnsi="Times New Roman" w:cs="Times New Roman"/>
          <w:b/>
          <w:sz w:val="24"/>
          <w:szCs w:val="24"/>
        </w:rPr>
        <w:t xml:space="preserve"> пенсионно</w:t>
      </w:r>
      <w:r w:rsidR="00784BBD">
        <w:rPr>
          <w:rFonts w:ascii="Times New Roman" w:hAnsi="Times New Roman" w:cs="Times New Roman"/>
          <w:b/>
          <w:sz w:val="24"/>
          <w:szCs w:val="24"/>
        </w:rPr>
        <w:t>м</w:t>
      </w:r>
      <w:r w:rsidR="00784BBD" w:rsidRPr="00FE224F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784BBD">
        <w:rPr>
          <w:rFonts w:ascii="Times New Roman" w:hAnsi="Times New Roman" w:cs="Times New Roman"/>
          <w:b/>
          <w:sz w:val="24"/>
          <w:szCs w:val="24"/>
        </w:rPr>
        <w:t>и</w:t>
      </w:r>
      <w:r w:rsidR="00784BBD" w:rsidRPr="00FE22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0D29">
        <w:rPr>
          <w:rFonts w:ascii="Times New Roman" w:hAnsi="Times New Roman" w:cs="Times New Roman"/>
          <w:b/>
          <w:sz w:val="24"/>
          <w:szCs w:val="24"/>
        </w:rPr>
        <w:br/>
      </w:r>
      <w:r w:rsidRPr="00FE224F">
        <w:rPr>
          <w:rFonts w:ascii="Times New Roman" w:hAnsi="Times New Roman" w:cs="Times New Roman"/>
          <w:b/>
          <w:sz w:val="24"/>
          <w:szCs w:val="24"/>
        </w:rPr>
        <w:t>с вкладчиками</w:t>
      </w:r>
      <w:r w:rsidR="007603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224F">
        <w:rPr>
          <w:rFonts w:ascii="Times New Roman" w:hAnsi="Times New Roman" w:cs="Times New Roman"/>
          <w:b/>
          <w:sz w:val="24"/>
          <w:szCs w:val="24"/>
        </w:rPr>
        <w:t>-</w:t>
      </w:r>
      <w:r w:rsidR="007603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224F">
        <w:rPr>
          <w:rFonts w:ascii="Times New Roman" w:hAnsi="Times New Roman" w:cs="Times New Roman"/>
          <w:b/>
          <w:sz w:val="24"/>
          <w:szCs w:val="24"/>
        </w:rPr>
        <w:t>физическими лицами</w:t>
      </w:r>
      <w:r w:rsidR="007C4201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820CF1">
        <w:rPr>
          <w:rFonts w:ascii="Times New Roman" w:hAnsi="Times New Roman" w:cs="Times New Roman"/>
          <w:b/>
          <w:sz w:val="24"/>
          <w:szCs w:val="24"/>
        </w:rPr>
        <w:t xml:space="preserve">Пенсионным </w:t>
      </w:r>
      <w:r w:rsidR="007C4201">
        <w:rPr>
          <w:rFonts w:ascii="Times New Roman" w:hAnsi="Times New Roman" w:cs="Times New Roman"/>
          <w:b/>
          <w:sz w:val="24"/>
          <w:szCs w:val="24"/>
        </w:rPr>
        <w:t>схемам № 1 и № 4</w:t>
      </w:r>
    </w:p>
    <w:tbl>
      <w:tblPr>
        <w:tblStyle w:val="a3"/>
        <w:tblW w:w="10202" w:type="dxa"/>
        <w:tblInd w:w="-851" w:type="dxa"/>
        <w:tblLook w:val="0000" w:firstRow="0" w:lastRow="0" w:firstColumn="0" w:lastColumn="0" w:noHBand="0" w:noVBand="0"/>
      </w:tblPr>
      <w:tblGrid>
        <w:gridCol w:w="704"/>
        <w:gridCol w:w="2410"/>
        <w:gridCol w:w="7088"/>
      </w:tblGrid>
      <w:tr w:rsidR="00532DD0" w14:paraId="27AB0CD5" w14:textId="77777777" w:rsidTr="00FE1F78">
        <w:trPr>
          <w:trHeight w:val="2466"/>
        </w:trPr>
        <w:tc>
          <w:tcPr>
            <w:tcW w:w="10202" w:type="dxa"/>
            <w:gridSpan w:val="3"/>
          </w:tcPr>
          <w:p w14:paraId="68180365" w14:textId="77777777" w:rsidR="00532DD0" w:rsidRPr="00371273" w:rsidRDefault="00532DD0" w:rsidP="00532DD0">
            <w:pPr>
              <w:ind w:left="-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2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Ключевой информационный документ (КИД)</w:t>
            </w:r>
          </w:p>
          <w:p w14:paraId="7C47267C" w14:textId="77777777" w:rsidR="00532DD0" w:rsidRDefault="00532DD0" w:rsidP="00532DD0">
            <w:pPr>
              <w:ind w:lef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542">
              <w:rPr>
                <w:rFonts w:ascii="Times New Roman" w:hAnsi="Times New Roman" w:cs="Times New Roman"/>
                <w:sz w:val="24"/>
                <w:szCs w:val="24"/>
              </w:rPr>
              <w:t>Настоящий документ является ключевым информационным документом по информированию получателей финансовых услуг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865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Акционерном обществе</w:t>
            </w:r>
            <w:r w:rsidRPr="00986542">
              <w:rPr>
                <w:rFonts w:ascii="Times New Roman" w:hAnsi="Times New Roman" w:cs="Times New Roman"/>
                <w:sz w:val="24"/>
                <w:szCs w:val="24"/>
              </w:rPr>
              <w:t xml:space="preserve"> «Негосударственный пенсионный фонд «АПК-Фонд» (далее – Фонд), предоставляющем услугу по негосударственному пенсионному обеспечению по пенсионным схемам № 1 и № 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986542">
              <w:rPr>
                <w:rFonts w:ascii="Times New Roman" w:hAnsi="Times New Roman" w:cs="Times New Roman"/>
                <w:sz w:val="24"/>
                <w:szCs w:val="24"/>
              </w:rPr>
              <w:t xml:space="preserve"> сущности, стоимости и основных рисках. Настоящий КИД относится к пенсионным схемам, предлагаемым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86542">
              <w:rPr>
                <w:rFonts w:ascii="Times New Roman" w:hAnsi="Times New Roman" w:cs="Times New Roman"/>
                <w:sz w:val="24"/>
                <w:szCs w:val="24"/>
              </w:rPr>
              <w:t xml:space="preserve">ондом для заключения договоров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986542">
              <w:rPr>
                <w:rFonts w:ascii="Times New Roman" w:hAnsi="Times New Roman" w:cs="Times New Roman"/>
                <w:sz w:val="24"/>
                <w:szCs w:val="24"/>
              </w:rPr>
              <w:t>негосударственно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86542">
              <w:rPr>
                <w:rFonts w:ascii="Times New Roman" w:hAnsi="Times New Roman" w:cs="Times New Roman"/>
                <w:sz w:val="24"/>
                <w:szCs w:val="24"/>
              </w:rPr>
              <w:t xml:space="preserve"> пенсионно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8654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6542">
              <w:rPr>
                <w:rFonts w:ascii="Times New Roman" w:hAnsi="Times New Roman" w:cs="Times New Roman"/>
                <w:sz w:val="24"/>
                <w:szCs w:val="24"/>
              </w:rPr>
              <w:t xml:space="preserve"> с физическими лицами в соответствии с действующей редакцией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86542">
              <w:rPr>
                <w:rFonts w:ascii="Times New Roman" w:hAnsi="Times New Roman" w:cs="Times New Roman"/>
                <w:sz w:val="24"/>
                <w:szCs w:val="24"/>
              </w:rPr>
              <w:t xml:space="preserve">енсионных правил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86542">
              <w:rPr>
                <w:rFonts w:ascii="Times New Roman" w:hAnsi="Times New Roman" w:cs="Times New Roman"/>
                <w:sz w:val="24"/>
                <w:szCs w:val="24"/>
              </w:rPr>
              <w:t>онда.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27245D" w14:textId="4FD6CB58" w:rsidR="00532DD0" w:rsidRPr="00F93091" w:rsidRDefault="00532DD0" w:rsidP="00532DD0">
            <w:pPr>
              <w:spacing w:line="259" w:lineRule="auto"/>
              <w:ind w:left="-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3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Данный документ не является рекламным материалом.</w:t>
            </w:r>
          </w:p>
        </w:tc>
      </w:tr>
      <w:tr w:rsidR="00E441AB" w14:paraId="75A1E43E" w14:textId="77777777" w:rsidTr="00FE1F78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0D02CC8A" w14:textId="4E15401C" w:rsidR="00E441AB" w:rsidRPr="00FE224F" w:rsidRDefault="00E441AB" w:rsidP="00FE2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4903D538" w14:textId="128B81E4" w:rsidR="00E441AB" w:rsidRPr="00FE224F" w:rsidRDefault="00E441AB" w:rsidP="00FE2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24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</w:p>
          <w:p w14:paraId="3317AB79" w14:textId="77777777" w:rsidR="00E441AB" w:rsidRPr="00FE224F" w:rsidRDefault="00E441AB" w:rsidP="00FE2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24F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поставщике </w:t>
            </w:r>
          </w:p>
          <w:p w14:paraId="4EA070C5" w14:textId="3A7068CE" w:rsidR="00E441AB" w:rsidRPr="00FE224F" w:rsidRDefault="00E441AB" w:rsidP="00FE2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24F">
              <w:rPr>
                <w:rFonts w:ascii="Times New Roman" w:hAnsi="Times New Roman" w:cs="Times New Roman"/>
                <w:sz w:val="24"/>
                <w:szCs w:val="24"/>
              </w:rPr>
              <w:t>финансовой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E224F">
              <w:rPr>
                <w:rFonts w:ascii="Times New Roman" w:hAnsi="Times New Roman" w:cs="Times New Roman"/>
                <w:sz w:val="24"/>
                <w:szCs w:val="24"/>
              </w:rPr>
              <w:t xml:space="preserve">негосударственном </w:t>
            </w:r>
          </w:p>
          <w:p w14:paraId="7C132595" w14:textId="77777777" w:rsidR="00E441AB" w:rsidRDefault="00E441AB" w:rsidP="00262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пенсионном фонде</w:t>
            </w:r>
          </w:p>
          <w:p w14:paraId="0595B42D" w14:textId="77777777" w:rsidR="00E441AB" w:rsidRDefault="00E441AB" w:rsidP="00FE2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B2DDD51" w14:textId="77777777" w:rsidR="00E441AB" w:rsidRDefault="00E441AB" w:rsidP="00FE2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наименование: </w:t>
            </w:r>
            <w:r w:rsidRPr="00FE224F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«Негосударственный пенсионный фонд «АПК-Фонд»</w:t>
            </w:r>
          </w:p>
          <w:p w14:paraId="09904465" w14:textId="77777777" w:rsidR="00E441AB" w:rsidRDefault="00E441AB" w:rsidP="00FE2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наименование: </w:t>
            </w:r>
            <w:r w:rsidRPr="00FE224F">
              <w:rPr>
                <w:rFonts w:ascii="Times New Roman" w:hAnsi="Times New Roman" w:cs="Times New Roman"/>
                <w:sz w:val="24"/>
                <w:szCs w:val="24"/>
              </w:rPr>
              <w:t>АО «НПФ «АПК-Фонд»</w:t>
            </w:r>
          </w:p>
          <w:p w14:paraId="7008CB82" w14:textId="77777777" w:rsidR="00E441AB" w:rsidRDefault="00E441AB" w:rsidP="00FE2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FE224F">
              <w:rPr>
                <w:rFonts w:ascii="Times New Roman" w:hAnsi="Times New Roman" w:cs="Times New Roman"/>
                <w:sz w:val="24"/>
                <w:szCs w:val="24"/>
              </w:rPr>
              <w:t>1157700020290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9C939B" w14:textId="05718BB1" w:rsidR="00E441AB" w:rsidRDefault="00E441AB" w:rsidP="00FE2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FE224F">
              <w:rPr>
                <w:rFonts w:ascii="Times New Roman" w:hAnsi="Times New Roman" w:cs="Times New Roman"/>
                <w:sz w:val="24"/>
                <w:szCs w:val="24"/>
              </w:rPr>
              <w:t>7702395320</w:t>
            </w:r>
          </w:p>
          <w:p w14:paraId="57D794FF" w14:textId="77777777" w:rsidR="00E441AB" w:rsidRDefault="00E441AB" w:rsidP="00FE2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Лицензия Фонда </w:t>
            </w:r>
            <w:r w:rsidRPr="002623BB">
              <w:rPr>
                <w:rFonts w:ascii="Times New Roman" w:hAnsi="Times New Roman" w:cs="Times New Roman"/>
                <w:sz w:val="24"/>
                <w:szCs w:val="24"/>
              </w:rPr>
              <w:t>№140/2 от 21 мая 2004 года на осуществление деятельности по пенсионному обеспечению и пенсионному страхованию</w:t>
            </w:r>
          </w:p>
          <w:p w14:paraId="047BE5DD" w14:textId="77777777" w:rsidR="00E441AB" w:rsidRDefault="00E441AB" w:rsidP="00FE2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Фонда: </w:t>
            </w:r>
            <w:r w:rsidRPr="00FE224F">
              <w:rPr>
                <w:rFonts w:ascii="Times New Roman" w:hAnsi="Times New Roman" w:cs="Times New Roman"/>
                <w:sz w:val="24"/>
                <w:szCs w:val="24"/>
              </w:rPr>
              <w:t>123112, г. Москва, Пресненская наб., дом 12, этаж 45, комн. 43-45</w:t>
            </w:r>
          </w:p>
          <w:p w14:paraId="202DFFFE" w14:textId="7DCDD675" w:rsidR="00E441AB" w:rsidRDefault="00E441AB" w:rsidP="00FE2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Телефоны: +7 </w:t>
            </w:r>
            <w:r w:rsidRPr="00FE224F">
              <w:rPr>
                <w:rFonts w:ascii="Times New Roman" w:hAnsi="Times New Roman" w:cs="Times New Roman"/>
                <w:sz w:val="24"/>
                <w:szCs w:val="24"/>
              </w:rPr>
              <w:t xml:space="preserve">(495) 688-90-00;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FE224F">
              <w:rPr>
                <w:rFonts w:ascii="Times New Roman" w:hAnsi="Times New Roman" w:cs="Times New Roman"/>
                <w:sz w:val="24"/>
                <w:szCs w:val="24"/>
              </w:rPr>
              <w:t>(495) 780-83-43</w:t>
            </w:r>
          </w:p>
          <w:p w14:paraId="1FC2694D" w14:textId="7404F11A" w:rsidR="00E441AB" w:rsidRDefault="00E441AB" w:rsidP="00FE2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официального сайта в сети «Интернет»: </w:t>
            </w:r>
            <w:hyperlink r:id="rId5" w:history="1">
              <w:r w:rsidRPr="009018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www.apk-fond.ru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4E6107" w14:textId="77777777" w:rsidR="00E441AB" w:rsidRDefault="00E441AB" w:rsidP="00FE22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6" w:history="1">
              <w:r w:rsidRPr="009018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npf@apk-fond.ru</w:t>
              </w:r>
            </w:hyperlink>
          </w:p>
          <w:p w14:paraId="59ED09E8" w14:textId="2A650C84" w:rsidR="00E441AB" w:rsidRDefault="00E441AB" w:rsidP="002623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24F">
              <w:rPr>
                <w:rFonts w:ascii="Times New Roman" w:hAnsi="Times New Roman" w:cs="Times New Roman"/>
                <w:sz w:val="24"/>
                <w:szCs w:val="24"/>
              </w:rPr>
              <w:t xml:space="preserve">Подробно ознакомиться с информацией о Фонде,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E224F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авом, Пенсионными правилами, а </w:t>
            </w:r>
            <w:r w:rsidRPr="00FE224F">
              <w:rPr>
                <w:rFonts w:ascii="Times New Roman" w:hAnsi="Times New Roman" w:cs="Times New Roman"/>
                <w:sz w:val="24"/>
                <w:szCs w:val="24"/>
              </w:rPr>
              <w:t>также с иными документами, предусмотренными Федеральны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законом от 07.05.1998 № 75-ФЗ </w:t>
            </w:r>
            <w:r w:rsidRPr="00FE224F">
              <w:rPr>
                <w:rFonts w:ascii="Times New Roman" w:hAnsi="Times New Roman" w:cs="Times New Roman"/>
                <w:sz w:val="24"/>
                <w:szCs w:val="24"/>
              </w:rPr>
              <w:t>«О негосударственных пенсионных фондах» и нормативным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актами Банка России, можно в </w:t>
            </w:r>
            <w:r w:rsidRPr="00FE224F">
              <w:rPr>
                <w:rFonts w:ascii="Times New Roman" w:hAnsi="Times New Roman" w:cs="Times New Roman"/>
                <w:sz w:val="24"/>
                <w:szCs w:val="24"/>
              </w:rPr>
              <w:t>офисе Фонда по адресу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E2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0E2">
              <w:rPr>
                <w:rFonts w:ascii="Times New Roman" w:hAnsi="Times New Roman" w:cs="Times New Roman"/>
                <w:sz w:val="24"/>
                <w:szCs w:val="24"/>
              </w:rPr>
              <w:t>123112, г. Москва, Пресненская наб., дом 12, этаж 45, комн. 43-45</w:t>
            </w:r>
            <w:r w:rsidRPr="00FE224F">
              <w:rPr>
                <w:rFonts w:ascii="Times New Roman" w:hAnsi="Times New Roman" w:cs="Times New Roman"/>
                <w:sz w:val="24"/>
                <w:szCs w:val="24"/>
              </w:rPr>
              <w:t>, или на сайте Фонда.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41AB" w14:paraId="632A38E4" w14:textId="77777777" w:rsidTr="00FE1F78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69B755F7" w14:textId="4FD915FC" w:rsidR="00E441AB" w:rsidRPr="00C35D7D" w:rsidRDefault="00E441AB" w:rsidP="00C35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14:paraId="5EBE1A61" w14:textId="3F6D9343" w:rsidR="00E441AB" w:rsidRDefault="00E441AB" w:rsidP="00C35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D7D">
              <w:rPr>
                <w:rFonts w:ascii="Times New Roman" w:hAnsi="Times New Roman" w:cs="Times New Roman"/>
                <w:sz w:val="24"/>
                <w:szCs w:val="24"/>
              </w:rPr>
              <w:t>Наименование и тип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предоставляемого </w:t>
            </w:r>
            <w:r w:rsidRPr="00C35D7D">
              <w:rPr>
                <w:rFonts w:ascii="Times New Roman" w:hAnsi="Times New Roman" w:cs="Times New Roman"/>
                <w:sz w:val="24"/>
                <w:szCs w:val="24"/>
              </w:rPr>
              <w:t>продукта/услуги</w:t>
            </w:r>
          </w:p>
        </w:tc>
        <w:tc>
          <w:tcPr>
            <w:tcW w:w="7088" w:type="dxa"/>
          </w:tcPr>
          <w:p w14:paraId="3E06DED2" w14:textId="22043647" w:rsidR="00E441AB" w:rsidRPr="00C35D7D" w:rsidRDefault="00E441AB" w:rsidP="003D4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D7D">
              <w:rPr>
                <w:rFonts w:ascii="Times New Roman" w:hAnsi="Times New Roman" w:cs="Times New Roman"/>
                <w:sz w:val="24"/>
                <w:szCs w:val="24"/>
              </w:rPr>
              <w:t xml:space="preserve">Договор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35D7D">
              <w:rPr>
                <w:rFonts w:ascii="Times New Roman" w:hAnsi="Times New Roman" w:cs="Times New Roman"/>
                <w:sz w:val="24"/>
                <w:szCs w:val="24"/>
              </w:rPr>
              <w:t>негосударственно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5D7D">
              <w:rPr>
                <w:rFonts w:ascii="Times New Roman" w:hAnsi="Times New Roman" w:cs="Times New Roman"/>
                <w:sz w:val="24"/>
                <w:szCs w:val="24"/>
              </w:rPr>
              <w:t xml:space="preserve"> пенсионно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35D7D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r w:rsidRPr="00C35D7D">
              <w:rPr>
                <w:rFonts w:ascii="Times New Roman" w:hAnsi="Times New Roman" w:cs="Times New Roman"/>
                <w:sz w:val="24"/>
                <w:szCs w:val="24"/>
              </w:rPr>
              <w:t>(договор НПО)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35D7D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между Фондом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5D7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ладчиком, в соответствии с которым В</w:t>
            </w:r>
            <w:r w:rsidRPr="00C35D7D">
              <w:rPr>
                <w:rFonts w:ascii="Times New Roman" w:hAnsi="Times New Roman" w:cs="Times New Roman"/>
                <w:sz w:val="24"/>
                <w:szCs w:val="24"/>
              </w:rPr>
              <w:t>кладчик обязуется уплачивать пенсионные взносы в Фонд, а Фонд обязуется выплачивать Участнику (Участникам) по договору НПО негосударственную пенсию.</w:t>
            </w:r>
          </w:p>
          <w:p w14:paraId="289EE120" w14:textId="78CE25E7" w:rsidR="00E441AB" w:rsidRPr="00C35D7D" w:rsidRDefault="00E441AB" w:rsidP="003D4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D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35D7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лицо, которому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заключенным между Вкладчиком и Ф</w:t>
            </w:r>
            <w:r w:rsidRPr="00C35D7D">
              <w:rPr>
                <w:rFonts w:ascii="Times New Roman" w:hAnsi="Times New Roman" w:cs="Times New Roman"/>
                <w:sz w:val="24"/>
                <w:szCs w:val="24"/>
              </w:rPr>
              <w:t>ондом договором НПО должны производиться или производ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ятся выплаты негосударственной </w:t>
            </w:r>
            <w:r w:rsidRPr="00C35D7D">
              <w:rPr>
                <w:rFonts w:ascii="Times New Roman" w:hAnsi="Times New Roman" w:cs="Times New Roman"/>
                <w:sz w:val="24"/>
                <w:szCs w:val="24"/>
              </w:rPr>
              <w:t xml:space="preserve">пенсии. Участник может выступать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5D7D">
              <w:rPr>
                <w:rFonts w:ascii="Times New Roman" w:hAnsi="Times New Roman" w:cs="Times New Roman"/>
                <w:sz w:val="24"/>
                <w:szCs w:val="24"/>
              </w:rPr>
              <w:t>кладчиком в свою пользу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039AC3" w14:textId="5E11D608" w:rsidR="008A1031" w:rsidRDefault="00E441AB" w:rsidP="003D4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D7D">
              <w:rPr>
                <w:rFonts w:ascii="Times New Roman" w:hAnsi="Times New Roman" w:cs="Times New Roman"/>
                <w:sz w:val="24"/>
                <w:szCs w:val="24"/>
              </w:rPr>
              <w:t xml:space="preserve">Фондом применяются </w:t>
            </w:r>
            <w:r w:rsidRPr="00E66767">
              <w:rPr>
                <w:rFonts w:ascii="Times New Roman" w:hAnsi="Times New Roman" w:cs="Times New Roman"/>
                <w:sz w:val="24"/>
                <w:szCs w:val="24"/>
              </w:rPr>
              <w:t>пенсионные схемы с установленным размером пенсионных взносов (с фиксированными взносами)</w:t>
            </w:r>
            <w:r w:rsidR="008A103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106372A" w14:textId="7FB2616A" w:rsidR="00E66767" w:rsidRDefault="008A1031" w:rsidP="00E66767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67">
              <w:rPr>
                <w:rFonts w:ascii="Times New Roman" w:hAnsi="Times New Roman" w:cs="Times New Roman"/>
                <w:sz w:val="24"/>
                <w:szCs w:val="24"/>
              </w:rPr>
              <w:t xml:space="preserve">Пенсионная схема № 1. «Сберегательная. С установленными размерами пенсионных взносов. Выплата негосударственной пенсии в течение установленного срока (от </w:t>
            </w:r>
            <w:r w:rsidR="00E973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6767">
              <w:rPr>
                <w:rFonts w:ascii="Times New Roman" w:hAnsi="Times New Roman" w:cs="Times New Roman"/>
                <w:sz w:val="24"/>
                <w:szCs w:val="24"/>
              </w:rPr>
              <w:t xml:space="preserve"> до 10 лет)»; </w:t>
            </w:r>
          </w:p>
          <w:p w14:paraId="722F635C" w14:textId="588C7F8D" w:rsidR="00E441AB" w:rsidRPr="00E66767" w:rsidRDefault="008A1031" w:rsidP="00E66767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767">
              <w:rPr>
                <w:rFonts w:ascii="Times New Roman" w:hAnsi="Times New Roman" w:cs="Times New Roman"/>
                <w:sz w:val="24"/>
                <w:szCs w:val="24"/>
              </w:rPr>
              <w:t>Пенсионная схема № 4. «Страховая. С установленными размерами пенсионных взносов. Выплата негосударственной пенсии производится пожизненно».</w:t>
            </w:r>
          </w:p>
          <w:p w14:paraId="1F03BF5A" w14:textId="7950215B" w:rsidR="00E441AB" w:rsidRPr="000D6031" w:rsidRDefault="00E441AB" w:rsidP="003D4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0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 Фонда приобретает право на получение </w:t>
            </w:r>
            <w:r w:rsidR="00E973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6031">
              <w:rPr>
                <w:rFonts w:ascii="Times New Roman" w:hAnsi="Times New Roman" w:cs="Times New Roman"/>
                <w:sz w:val="24"/>
                <w:szCs w:val="24"/>
              </w:rPr>
              <w:t xml:space="preserve">егосударственной пенсии в Фонде при одновременном выполнении следующих условий: </w:t>
            </w:r>
          </w:p>
          <w:p w14:paraId="38E3AF0F" w14:textId="71002647" w:rsidR="00E441AB" w:rsidRDefault="00E441AB" w:rsidP="003D4F3F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F3F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Вкладчиком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договора НПО</w:t>
            </w:r>
            <w:r w:rsidRPr="003D4F3F">
              <w:rPr>
                <w:rFonts w:ascii="Times New Roman" w:hAnsi="Times New Roman" w:cs="Times New Roman"/>
                <w:sz w:val="24"/>
                <w:szCs w:val="24"/>
              </w:rPr>
              <w:t xml:space="preserve"> в пользу Участника (Участников) и внесение им пенсионных взносов в соответствии с условиями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договора НПО</w:t>
            </w:r>
            <w:r w:rsidRPr="003D4F3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909A19B" w14:textId="121C9806" w:rsidR="00E441AB" w:rsidRDefault="00E441AB" w:rsidP="003D4F3F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F3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пенсионных оснований на получение </w:t>
            </w:r>
            <w:r w:rsidR="00E973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D4F3F">
              <w:rPr>
                <w:rFonts w:ascii="Times New Roman" w:hAnsi="Times New Roman" w:cs="Times New Roman"/>
                <w:sz w:val="24"/>
                <w:szCs w:val="24"/>
              </w:rPr>
              <w:t xml:space="preserve">егосударственной пенсии, установленных законодательством Российской Федерации, Пенсионными правилами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договором НПО</w:t>
            </w:r>
            <w:r w:rsidRPr="003D4F3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8410D50" w14:textId="77777777" w:rsidR="00E441AB" w:rsidRDefault="00E441AB" w:rsidP="003D4F3F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F3F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достаточность средств, учтенных на пенсионном счете; </w:t>
            </w:r>
          </w:p>
          <w:p w14:paraId="6ED50445" w14:textId="2F5E3861" w:rsidR="00E441AB" w:rsidRPr="003D4F3F" w:rsidRDefault="00E441AB" w:rsidP="003D4F3F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F3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отношении Участника (в случаях, когда Участник не является одновременно Вкладчиком) </w:t>
            </w:r>
            <w:r w:rsidR="00E973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D4F3F">
              <w:rPr>
                <w:rFonts w:ascii="Times New Roman" w:hAnsi="Times New Roman" w:cs="Times New Roman"/>
                <w:sz w:val="24"/>
                <w:szCs w:val="24"/>
              </w:rPr>
              <w:t xml:space="preserve">аспорядительного письма Вкладчика о приобретении Участником прав на получение негосударственной пенсии в Фонде в случае, если предоставление Вкладчиком </w:t>
            </w:r>
            <w:r w:rsidR="00E973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D4F3F">
              <w:rPr>
                <w:rFonts w:ascii="Times New Roman" w:hAnsi="Times New Roman" w:cs="Times New Roman"/>
                <w:sz w:val="24"/>
                <w:szCs w:val="24"/>
              </w:rPr>
              <w:t xml:space="preserve">аспорядительного письма в Фонде предусмотрено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договором НПО</w:t>
            </w:r>
            <w:r w:rsidRPr="003D4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11BA1B" w14:textId="3F1FD0B4" w:rsidR="00E441AB" w:rsidRDefault="00E441AB" w:rsidP="003D4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8C9">
              <w:rPr>
                <w:rFonts w:ascii="Times New Roman" w:hAnsi="Times New Roman" w:cs="Times New Roman"/>
                <w:sz w:val="24"/>
                <w:szCs w:val="24"/>
              </w:rPr>
              <w:t xml:space="preserve">После наступления </w:t>
            </w:r>
            <w:r w:rsidR="00E97391" w:rsidRPr="007E6EDC">
              <w:rPr>
                <w:rFonts w:ascii="Times New Roman" w:hAnsi="Times New Roman" w:cs="Times New Roman"/>
                <w:sz w:val="24"/>
                <w:szCs w:val="24"/>
              </w:rPr>
              <w:t>пенсионн</w:t>
            </w:r>
            <w:r w:rsidR="00E9739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E97391" w:rsidRPr="007E6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6EDC">
              <w:rPr>
                <w:rFonts w:ascii="Times New Roman" w:hAnsi="Times New Roman" w:cs="Times New Roman"/>
                <w:sz w:val="24"/>
                <w:szCs w:val="24"/>
              </w:rPr>
              <w:t>основани</w:t>
            </w:r>
            <w:r w:rsidR="00E97391">
              <w:rPr>
                <w:rFonts w:ascii="Times New Roman" w:hAnsi="Times New Roman" w:cs="Times New Roman"/>
                <w:sz w:val="24"/>
                <w:szCs w:val="24"/>
              </w:rPr>
              <w:t>я, указанного в разделе 11 Пенсионных правил Фонда</w:t>
            </w:r>
            <w:r w:rsidRPr="007E6ED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97391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договором НПО</w:t>
            </w:r>
            <w:r w:rsidRPr="003C18C9">
              <w:rPr>
                <w:rFonts w:ascii="Times New Roman" w:hAnsi="Times New Roman" w:cs="Times New Roman"/>
                <w:sz w:val="24"/>
                <w:szCs w:val="24"/>
              </w:rPr>
              <w:t xml:space="preserve">, Участник вправе обратиться в любой момент в Фонд с заявлением по установленной Фондом форме о назначении и выплате негосударственной пенсии с приложением к заявлению документов, указанных в </w:t>
            </w:r>
            <w:r w:rsidR="00F73DDF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Pr="003C18C9">
              <w:rPr>
                <w:rFonts w:ascii="Times New Roman" w:hAnsi="Times New Roman" w:cs="Times New Roman"/>
                <w:sz w:val="24"/>
                <w:szCs w:val="24"/>
              </w:rPr>
              <w:t>12.4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енсионных п</w:t>
            </w:r>
            <w:r w:rsidRPr="003C18C9">
              <w:rPr>
                <w:rFonts w:ascii="Times New Roman" w:hAnsi="Times New Roman" w:cs="Times New Roman"/>
                <w:sz w:val="24"/>
                <w:szCs w:val="24"/>
              </w:rPr>
              <w:t>равил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C1DA581" w14:textId="04EEBDD3" w:rsidR="00E441AB" w:rsidRDefault="00E441AB" w:rsidP="003D4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03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(Тридцати) </w:t>
            </w:r>
            <w:r w:rsidRPr="000D6031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календарных дней после поступления в Фонд заявления о назначении </w:t>
            </w:r>
            <w:r w:rsidR="00E973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6031">
              <w:rPr>
                <w:rFonts w:ascii="Times New Roman" w:hAnsi="Times New Roman" w:cs="Times New Roman"/>
                <w:sz w:val="24"/>
                <w:szCs w:val="24"/>
              </w:rPr>
              <w:t xml:space="preserve">егосударственной пенсии и всех необходимых </w:t>
            </w:r>
            <w:r w:rsidRPr="00E6577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документов, указанных в п. 12.4. Пенсионных правил, Фонд выносит решение </w:t>
            </w:r>
            <w:r w:rsidRPr="000D6031">
              <w:rPr>
                <w:rFonts w:ascii="Times New Roman" w:hAnsi="Times New Roman" w:cs="Times New Roman"/>
                <w:sz w:val="24"/>
                <w:szCs w:val="24"/>
              </w:rPr>
              <w:t xml:space="preserve">о назначении Участнику </w:t>
            </w:r>
            <w:r w:rsidR="00E973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6031">
              <w:rPr>
                <w:rFonts w:ascii="Times New Roman" w:hAnsi="Times New Roman" w:cs="Times New Roman"/>
                <w:sz w:val="24"/>
                <w:szCs w:val="24"/>
              </w:rPr>
              <w:t xml:space="preserve">егосударственной пенсии, рассчитывает размер </w:t>
            </w:r>
            <w:r w:rsidR="00E973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6031">
              <w:rPr>
                <w:rFonts w:ascii="Times New Roman" w:hAnsi="Times New Roman" w:cs="Times New Roman"/>
                <w:sz w:val="24"/>
                <w:szCs w:val="24"/>
              </w:rPr>
              <w:t xml:space="preserve">егосударственной пенсии на дату назначения, направляет или выдает (при личном обращении в Фонд) Участнику </w:t>
            </w:r>
            <w:r w:rsidR="00E9739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D6031">
              <w:rPr>
                <w:rFonts w:ascii="Times New Roman" w:hAnsi="Times New Roman" w:cs="Times New Roman"/>
                <w:sz w:val="24"/>
                <w:szCs w:val="24"/>
              </w:rPr>
              <w:t xml:space="preserve">ведомление о назначении и выплате </w:t>
            </w:r>
            <w:r w:rsidR="00E973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6031">
              <w:rPr>
                <w:rFonts w:ascii="Times New Roman" w:hAnsi="Times New Roman" w:cs="Times New Roman"/>
                <w:sz w:val="24"/>
                <w:szCs w:val="24"/>
              </w:rPr>
              <w:t xml:space="preserve">егосударственной пенсии и производит первую выплату </w:t>
            </w:r>
            <w:r w:rsidR="00E9739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6031">
              <w:rPr>
                <w:rFonts w:ascii="Times New Roman" w:hAnsi="Times New Roman" w:cs="Times New Roman"/>
                <w:sz w:val="24"/>
                <w:szCs w:val="24"/>
              </w:rPr>
              <w:t>егосударственной пенсии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631DE8" w14:textId="77777777" w:rsidR="00E441AB" w:rsidRDefault="00E441AB" w:rsidP="003D4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D7D">
              <w:rPr>
                <w:rFonts w:ascii="Times New Roman" w:hAnsi="Times New Roman" w:cs="Times New Roman"/>
                <w:sz w:val="24"/>
                <w:szCs w:val="24"/>
              </w:rPr>
              <w:t xml:space="preserve">Негосударственная пенсия назначается Участнику с месяца, следующего за месяцем обращения в Фонд с заявлением по форме, установленной Фондом, но не ранее достижения Участником пенсионных оснований. Продолжительность выплаты негосударственной пенсии указывается Участником в заявлении. </w:t>
            </w:r>
          </w:p>
          <w:p w14:paraId="5D7F112A" w14:textId="77777777" w:rsidR="00E441AB" w:rsidRPr="007E6EDC" w:rsidRDefault="00E441AB" w:rsidP="003D4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DC">
              <w:rPr>
                <w:rFonts w:ascii="Times New Roman" w:hAnsi="Times New Roman" w:cs="Times New Roman"/>
                <w:sz w:val="24"/>
                <w:szCs w:val="24"/>
              </w:rPr>
              <w:t>Выплата негосударственной пенсии прекращается в случаях:</w:t>
            </w:r>
          </w:p>
          <w:p w14:paraId="19253C39" w14:textId="2477929B" w:rsidR="00E441AB" w:rsidRDefault="00E441AB" w:rsidP="003D4F3F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F3F">
              <w:rPr>
                <w:rFonts w:ascii="Times New Roman" w:hAnsi="Times New Roman" w:cs="Times New Roman"/>
                <w:sz w:val="24"/>
                <w:szCs w:val="24"/>
              </w:rPr>
              <w:t xml:space="preserve">полного выполнения Фондом определенных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договором НПО</w:t>
            </w:r>
            <w:r w:rsidRPr="003D4F3F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обязательств перед Участниками;</w:t>
            </w:r>
          </w:p>
          <w:p w14:paraId="240D900A" w14:textId="77777777" w:rsidR="00E441AB" w:rsidRDefault="00E441AB" w:rsidP="003D4F3F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F3F">
              <w:rPr>
                <w:rFonts w:ascii="Times New Roman" w:hAnsi="Times New Roman" w:cs="Times New Roman"/>
                <w:sz w:val="24"/>
                <w:szCs w:val="24"/>
              </w:rPr>
              <w:t>получения Фондом документального подтверждения факта смерти Участника;</w:t>
            </w:r>
          </w:p>
          <w:p w14:paraId="6C6E6BCB" w14:textId="27EE53B2" w:rsidR="00E441AB" w:rsidRPr="003D4F3F" w:rsidRDefault="00E441AB" w:rsidP="003D4F3F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4F3F">
              <w:rPr>
                <w:rFonts w:ascii="Times New Roman" w:hAnsi="Times New Roman" w:cs="Times New Roman"/>
                <w:sz w:val="24"/>
                <w:szCs w:val="24"/>
              </w:rPr>
              <w:t>утраты Участником пенсионного основания (оснований), определ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4F3F">
              <w:rPr>
                <w:rFonts w:ascii="Times New Roman" w:hAnsi="Times New Roman" w:cs="Times New Roman"/>
                <w:sz w:val="24"/>
                <w:szCs w:val="24"/>
              </w:rPr>
              <w:t xml:space="preserve">нных пенсионной схемой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договором НПО</w:t>
            </w:r>
            <w:r w:rsidRPr="003D4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41AB" w14:paraId="7E5C6A90" w14:textId="77777777" w:rsidTr="00FE1F78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2E2D1A3F" w14:textId="23FB0865" w:rsidR="00E441AB" w:rsidRDefault="00E441AB" w:rsidP="00AD7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10" w:type="dxa"/>
          </w:tcPr>
          <w:p w14:paraId="65D55D44" w14:textId="3969E2C3" w:rsidR="00E441AB" w:rsidRDefault="00E441AB" w:rsidP="00AD7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Специфика (особенности) </w:t>
            </w:r>
            <w:r w:rsidRPr="00AD7BEB">
              <w:rPr>
                <w:rFonts w:ascii="Times New Roman" w:hAnsi="Times New Roman" w:cs="Times New Roman"/>
                <w:sz w:val="24"/>
                <w:szCs w:val="24"/>
              </w:rPr>
              <w:t>продукта/услуги</w:t>
            </w:r>
          </w:p>
        </w:tc>
        <w:tc>
          <w:tcPr>
            <w:tcW w:w="7088" w:type="dxa"/>
          </w:tcPr>
          <w:p w14:paraId="4567DCC2" w14:textId="55F504CB" w:rsidR="00E441AB" w:rsidRPr="00830264" w:rsidRDefault="00E441AB" w:rsidP="0025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64">
              <w:rPr>
                <w:rFonts w:ascii="Times New Roman" w:hAnsi="Times New Roman" w:cs="Times New Roman"/>
                <w:sz w:val="24"/>
                <w:szCs w:val="24"/>
              </w:rPr>
              <w:t xml:space="preserve">Пенсионными основаниями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получения негосударственной пенсии </w:t>
            </w:r>
            <w:r w:rsidRPr="00830264">
              <w:rPr>
                <w:rFonts w:ascii="Times New Roman" w:hAnsi="Times New Roman" w:cs="Times New Roman"/>
                <w:sz w:val="24"/>
                <w:szCs w:val="24"/>
              </w:rPr>
              <w:t xml:space="preserve">являются основания приобретения Участником права на получение </w:t>
            </w:r>
            <w:r w:rsidR="0076145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30264">
              <w:rPr>
                <w:rFonts w:ascii="Times New Roman" w:hAnsi="Times New Roman" w:cs="Times New Roman"/>
                <w:sz w:val="24"/>
                <w:szCs w:val="24"/>
              </w:rPr>
              <w:t xml:space="preserve">егосударственной пенсии, установленные договорами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НПО </w:t>
            </w:r>
            <w:r w:rsidRPr="00830264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от 07.05.1998 № 75-ФЗ «О негосударственных пенсионных фондах».</w:t>
            </w:r>
          </w:p>
          <w:p w14:paraId="3C8CDD43" w14:textId="420C223D" w:rsidR="00E441AB" w:rsidRPr="00830264" w:rsidRDefault="00E441AB" w:rsidP="0025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на получение </w:t>
            </w:r>
            <w:r w:rsidR="0076145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30264">
              <w:rPr>
                <w:rFonts w:ascii="Times New Roman" w:hAnsi="Times New Roman" w:cs="Times New Roman"/>
                <w:sz w:val="24"/>
                <w:szCs w:val="24"/>
              </w:rPr>
              <w:t xml:space="preserve">егосударственной пенсии по договорам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НПО </w:t>
            </w:r>
            <w:r w:rsidRPr="00830264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приобретают мужчины, достигшие возраста 60 лет, и женщины, достигшие возраста 55 лет, если иной возраст и (или) иные основания, дающие право на получение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30264">
              <w:rPr>
                <w:rFonts w:ascii="Times New Roman" w:hAnsi="Times New Roman" w:cs="Times New Roman"/>
                <w:sz w:val="24"/>
                <w:szCs w:val="24"/>
              </w:rPr>
              <w:t xml:space="preserve">егосударственной </w:t>
            </w:r>
            <w:r w:rsidRPr="008302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пенсии, не установлены договорами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НПО </w:t>
            </w:r>
            <w:r w:rsidRPr="00830264"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от 07.05.1998 № 75-ФЗ «О негосударственных пенсионных фондах».</w:t>
            </w:r>
          </w:p>
          <w:p w14:paraId="03112491" w14:textId="45F1470B" w:rsidR="00E441AB" w:rsidRPr="00830264" w:rsidRDefault="00E441AB" w:rsidP="0025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64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получение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30264">
              <w:rPr>
                <w:rFonts w:ascii="Times New Roman" w:hAnsi="Times New Roman" w:cs="Times New Roman"/>
                <w:sz w:val="24"/>
                <w:szCs w:val="24"/>
              </w:rPr>
              <w:t xml:space="preserve">егосударственной пенсии по договорам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НПО </w:t>
            </w:r>
            <w:r w:rsidRPr="00830264">
              <w:rPr>
                <w:rFonts w:ascii="Times New Roman" w:hAnsi="Times New Roman" w:cs="Times New Roman"/>
                <w:sz w:val="24"/>
                <w:szCs w:val="24"/>
              </w:rPr>
              <w:t xml:space="preserve">ранее достижения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вышеуказанного </w:t>
            </w:r>
            <w:r w:rsidRPr="00830264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264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0264">
              <w:rPr>
                <w:rFonts w:ascii="Times New Roman" w:hAnsi="Times New Roman" w:cs="Times New Roman"/>
                <w:sz w:val="24"/>
                <w:szCs w:val="24"/>
              </w:rPr>
              <w:t>частники из числа лиц, указанных в части 1 статьи 30, статье 31, части 1 статьи 32, части 2 статьи 33 Федерального закона от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.12.2013</w:t>
            </w:r>
            <w:r w:rsidRPr="00830264">
              <w:rPr>
                <w:rFonts w:ascii="Times New Roman" w:hAnsi="Times New Roman" w:cs="Times New Roman"/>
                <w:sz w:val="24"/>
                <w:szCs w:val="24"/>
              </w:rPr>
              <w:t xml:space="preserve"> № 400-ФЗ «О страховых пенсиях», по достижении возраста или при наступлении срока, определяемых в соответствии с Федеральным законом от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.12.2013</w:t>
            </w:r>
            <w:r w:rsidRPr="00830264">
              <w:rPr>
                <w:rFonts w:ascii="Times New Roman" w:hAnsi="Times New Roman" w:cs="Times New Roman"/>
                <w:sz w:val="24"/>
                <w:szCs w:val="24"/>
              </w:rPr>
              <w:t xml:space="preserve"> № 400-ФЗ «О страховых пенсиях» по состоянию на 31 декабря 2018 года, и при соблюдении условий, дающих право на досрочное назначение страховой пенсии по старости (наличие необходимого страхового стажа и (или) стажа на соответствующих видах работ и установленной величины индивидуального пенсионного коэффициента).</w:t>
            </w:r>
          </w:p>
          <w:p w14:paraId="43B47E41" w14:textId="05792886" w:rsidR="00E441AB" w:rsidRPr="00D646FB" w:rsidRDefault="00E441AB" w:rsidP="00257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264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получение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30264">
              <w:rPr>
                <w:rFonts w:ascii="Times New Roman" w:hAnsi="Times New Roman" w:cs="Times New Roman"/>
                <w:sz w:val="24"/>
                <w:szCs w:val="24"/>
              </w:rPr>
              <w:t xml:space="preserve">егосударственной пенсии по договорам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НПО </w:t>
            </w:r>
            <w:r w:rsidRPr="00830264">
              <w:rPr>
                <w:rFonts w:ascii="Times New Roman" w:hAnsi="Times New Roman" w:cs="Times New Roman"/>
                <w:sz w:val="24"/>
                <w:szCs w:val="24"/>
              </w:rPr>
              <w:t xml:space="preserve">ранее достижения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вышеуказанного </w:t>
            </w:r>
            <w:r w:rsidRPr="00830264">
              <w:rPr>
                <w:rFonts w:ascii="Times New Roman" w:hAnsi="Times New Roman" w:cs="Times New Roman"/>
                <w:sz w:val="24"/>
                <w:szCs w:val="24"/>
              </w:rPr>
              <w:t xml:space="preserve">возраста приобретают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30264">
              <w:rPr>
                <w:rFonts w:ascii="Times New Roman" w:hAnsi="Times New Roman" w:cs="Times New Roman"/>
                <w:sz w:val="24"/>
                <w:szCs w:val="24"/>
              </w:rPr>
              <w:t>частники из числа лиц, для которых частью 1 статьи 9, статьей 10 Федерального закона от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.12.2013</w:t>
            </w:r>
            <w:r w:rsidRPr="00830264">
              <w:rPr>
                <w:rFonts w:ascii="Times New Roman" w:hAnsi="Times New Roman" w:cs="Times New Roman"/>
                <w:sz w:val="24"/>
                <w:szCs w:val="24"/>
              </w:rPr>
              <w:t xml:space="preserve"> № 400-ФЗ «О страховых пенсиях» либо Федеральным законом от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.12.2001</w:t>
            </w:r>
            <w:r w:rsidRPr="00830264">
              <w:rPr>
                <w:rFonts w:ascii="Times New Roman" w:hAnsi="Times New Roman" w:cs="Times New Roman"/>
                <w:sz w:val="24"/>
                <w:szCs w:val="24"/>
              </w:rPr>
              <w:t xml:space="preserve"> № 166-ФЗ «О государственном пенсионном обеспечении в Российской Федерации» предусмотрено право на получение страховой пенсии по инвалидности, страховой пенсии по случаю потери кормильца либо пенсии по государственному пенсионному обеспечению до достижения возраста, установленного частью 1 статьи 8 Федерального закона от 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.12.2013</w:t>
            </w:r>
            <w:r w:rsidRPr="00830264">
              <w:rPr>
                <w:rFonts w:ascii="Times New Roman" w:hAnsi="Times New Roman" w:cs="Times New Roman"/>
                <w:sz w:val="24"/>
                <w:szCs w:val="24"/>
              </w:rPr>
              <w:t xml:space="preserve"> № 400-ФЗ «О страховых пенсиях», при соблюдении условий, дающих право на назначение страховой пенсии по инвалидности, страховой пенсии по случаю потери кормильца либо пенсии по государственному пенсионному обеспечению, определяемых в соответствии с законодательством Российской Федерации, действующим на момент заключения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НПО</w:t>
            </w:r>
            <w:r w:rsidRPr="00830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41AB" w14:paraId="6062EAA7" w14:textId="77777777" w:rsidTr="00FE1F78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35715664" w14:textId="234005EF" w:rsidR="00E441AB" w:rsidRDefault="00E441AB" w:rsidP="00AD7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10" w:type="dxa"/>
          </w:tcPr>
          <w:p w14:paraId="3A711D2F" w14:textId="1354C0B3" w:rsidR="00E441AB" w:rsidRDefault="00E441AB" w:rsidP="00AD7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Прекращение действия договора </w:t>
            </w:r>
            <w:r w:rsidRPr="00AD7BEB">
              <w:rPr>
                <w:rFonts w:ascii="Times New Roman" w:hAnsi="Times New Roman" w:cs="Times New Roman"/>
                <w:sz w:val="24"/>
                <w:szCs w:val="24"/>
              </w:rPr>
              <w:t>НПО</w:t>
            </w:r>
          </w:p>
        </w:tc>
        <w:tc>
          <w:tcPr>
            <w:tcW w:w="7088" w:type="dxa"/>
          </w:tcPr>
          <w:p w14:paraId="7F8459BA" w14:textId="331005A2" w:rsidR="00E441AB" w:rsidRDefault="00E441AB" w:rsidP="00D64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НПО</w:t>
            </w:r>
            <w:r w:rsidRPr="00830264">
              <w:rPr>
                <w:rFonts w:ascii="Times New Roman" w:hAnsi="Times New Roman" w:cs="Times New Roman"/>
                <w:sz w:val="24"/>
                <w:szCs w:val="24"/>
              </w:rPr>
              <w:t xml:space="preserve"> прекращает свое действие в следующих случаях:</w:t>
            </w:r>
          </w:p>
          <w:p w14:paraId="6B835D78" w14:textId="08B4D658" w:rsidR="00E441AB" w:rsidRDefault="00E441AB" w:rsidP="00D646F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6FB">
              <w:rPr>
                <w:rFonts w:ascii="Times New Roman" w:hAnsi="Times New Roman" w:cs="Times New Roman"/>
                <w:sz w:val="24"/>
                <w:szCs w:val="24"/>
              </w:rPr>
              <w:t>полного, надлежащего выполнения Фондом обязательств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НПО</w:t>
            </w:r>
            <w:r w:rsidRPr="00D646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C8CFA7" w14:textId="1C8FB42E" w:rsidR="00E441AB" w:rsidRDefault="00E441AB" w:rsidP="00D646F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6FB">
              <w:rPr>
                <w:rFonts w:ascii="Times New Roman" w:hAnsi="Times New Roman" w:cs="Times New Roman"/>
                <w:sz w:val="24"/>
                <w:szCs w:val="24"/>
              </w:rPr>
              <w:t>прекращение действия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НПО</w:t>
            </w:r>
            <w:r w:rsidRPr="00D646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8AAA83" w14:textId="24D45B0F" w:rsidR="00E441AB" w:rsidRDefault="00E441AB" w:rsidP="00D646F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6FB">
              <w:rPr>
                <w:rFonts w:ascii="Times New Roman" w:hAnsi="Times New Roman" w:cs="Times New Roman"/>
                <w:sz w:val="24"/>
                <w:szCs w:val="24"/>
              </w:rPr>
              <w:t>ликвидации Фонда;</w:t>
            </w:r>
          </w:p>
          <w:p w14:paraId="75145320" w14:textId="2B9CE20D" w:rsidR="00E441AB" w:rsidRDefault="00E441AB" w:rsidP="00D646F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6FB">
              <w:rPr>
                <w:rFonts w:ascii="Times New Roman" w:hAnsi="Times New Roman" w:cs="Times New Roman"/>
                <w:sz w:val="24"/>
                <w:szCs w:val="24"/>
              </w:rPr>
              <w:t>в связи со смертью Участника, являющегося Вкладчиком в свою пользу, если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енсионными п</w:t>
            </w:r>
            <w:r w:rsidRPr="00D646FB">
              <w:rPr>
                <w:rFonts w:ascii="Times New Roman" w:hAnsi="Times New Roman" w:cs="Times New Roman"/>
                <w:sz w:val="24"/>
                <w:szCs w:val="24"/>
              </w:rPr>
              <w:t>равилами не предусмотрена возможность правопреемства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НПО</w:t>
            </w:r>
            <w:r w:rsidRPr="00D646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3AB2C6" w14:textId="2CEE1932" w:rsidR="00E441AB" w:rsidRPr="00D646FB" w:rsidRDefault="00E441AB" w:rsidP="00D646FB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6FB">
              <w:rPr>
                <w:rFonts w:ascii="Times New Roman" w:hAnsi="Times New Roman" w:cs="Times New Roman"/>
                <w:sz w:val="24"/>
                <w:szCs w:val="24"/>
              </w:rPr>
              <w:t>в других случаях, предусмотренных действующим законодательством Российской Федерации</w:t>
            </w:r>
            <w:r w:rsidR="007614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6145C" w:rsidRPr="00D646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6145C">
              <w:rPr>
                <w:rFonts w:ascii="Times New Roman" w:hAnsi="Times New Roman" w:cs="Times New Roman"/>
                <w:sz w:val="24"/>
                <w:szCs w:val="24"/>
              </w:rPr>
              <w:t>енсионными правилами</w:t>
            </w:r>
            <w:r w:rsidRPr="00D646FB">
              <w:rPr>
                <w:rFonts w:ascii="Times New Roman" w:hAnsi="Times New Roman" w:cs="Times New Roman"/>
                <w:sz w:val="24"/>
                <w:szCs w:val="24"/>
              </w:rPr>
              <w:t xml:space="preserve"> и договором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НПО</w:t>
            </w:r>
            <w:r w:rsidRPr="00D646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9F50961" w14:textId="0BA0A422" w:rsidR="00E441AB" w:rsidRDefault="00E441AB" w:rsidP="00D64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НПО</w:t>
            </w:r>
            <w:r w:rsidRPr="003B3C35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расторгнут по следующим основаниям:</w:t>
            </w:r>
          </w:p>
          <w:p w14:paraId="6B6D6F79" w14:textId="77777777" w:rsidR="00E441AB" w:rsidRDefault="00E441AB" w:rsidP="00D646FB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6FB">
              <w:rPr>
                <w:rFonts w:ascii="Times New Roman" w:hAnsi="Times New Roman" w:cs="Times New Roman"/>
                <w:sz w:val="24"/>
                <w:szCs w:val="24"/>
              </w:rPr>
              <w:t>по инициативе Вкладчика;</w:t>
            </w:r>
          </w:p>
          <w:p w14:paraId="644ABC24" w14:textId="77777777" w:rsidR="00E441AB" w:rsidRDefault="00E441AB" w:rsidP="00D646FB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6FB">
              <w:rPr>
                <w:rFonts w:ascii="Times New Roman" w:hAnsi="Times New Roman" w:cs="Times New Roman"/>
                <w:sz w:val="24"/>
                <w:szCs w:val="24"/>
              </w:rPr>
              <w:t>по соглашению сторон;</w:t>
            </w:r>
          </w:p>
          <w:p w14:paraId="5D78DA16" w14:textId="2CC56825" w:rsidR="00E441AB" w:rsidRDefault="00E441AB" w:rsidP="00D646FB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6FB">
              <w:rPr>
                <w:rFonts w:ascii="Times New Roman" w:hAnsi="Times New Roman" w:cs="Times New Roman"/>
                <w:sz w:val="24"/>
                <w:szCs w:val="24"/>
              </w:rPr>
              <w:t>при возникновении обстоятельств непреодолимой силы, препятствующих исполнению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НПО</w:t>
            </w:r>
            <w:r w:rsidRPr="00D646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D1F55A" w14:textId="77777777" w:rsidR="00E441AB" w:rsidRDefault="00E441AB" w:rsidP="00D646FB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6FB">
              <w:rPr>
                <w:rFonts w:ascii="Times New Roman" w:hAnsi="Times New Roman" w:cs="Times New Roman"/>
                <w:sz w:val="24"/>
                <w:szCs w:val="24"/>
              </w:rPr>
              <w:t>по решению суда;</w:t>
            </w:r>
          </w:p>
          <w:p w14:paraId="4F484076" w14:textId="2C392B55" w:rsidR="00E441AB" w:rsidRPr="00D646FB" w:rsidRDefault="00E441AB" w:rsidP="00D646FB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6FB">
              <w:rPr>
                <w:rFonts w:ascii="Times New Roman" w:hAnsi="Times New Roman" w:cs="Times New Roman"/>
                <w:sz w:val="24"/>
                <w:szCs w:val="24"/>
              </w:rPr>
              <w:t>по иным основаниям, определенным законодательством Российской Федерации и/или условиями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НПО</w:t>
            </w:r>
            <w:r w:rsidRPr="00D64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DDC124" w14:textId="28403831" w:rsidR="00E441AB" w:rsidRDefault="00E441AB" w:rsidP="00D64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Требование о расторжении договора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НПО </w:t>
            </w:r>
            <w:r w:rsidRPr="003B3C35">
              <w:rPr>
                <w:rFonts w:ascii="Times New Roman" w:hAnsi="Times New Roman" w:cs="Times New Roman"/>
                <w:sz w:val="24"/>
                <w:szCs w:val="24"/>
              </w:rPr>
              <w:t>в судебном порядке может быть заявлено стороной только после получения отказа другой стороны на предложение изменить или расторгнуть договор, либо при неполучении ответа в трехмесячный 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47467D" w14:textId="42B8813F" w:rsidR="00E441AB" w:rsidRPr="00046D2A" w:rsidRDefault="00E441AB" w:rsidP="00D64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2A">
              <w:rPr>
                <w:rFonts w:ascii="Times New Roman" w:hAnsi="Times New Roman" w:cs="Times New Roman"/>
                <w:sz w:val="24"/>
                <w:szCs w:val="24"/>
              </w:rPr>
              <w:t xml:space="preserve">Прекращение внесения пенсионных взносов Вкладчиком не является основанием для расторжения договора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НПО </w:t>
            </w:r>
            <w:r w:rsidRPr="00046D2A">
              <w:rPr>
                <w:rFonts w:ascii="Times New Roman" w:hAnsi="Times New Roman" w:cs="Times New Roman"/>
                <w:sz w:val="24"/>
                <w:szCs w:val="24"/>
              </w:rPr>
              <w:t>и влечет за собой только изменение обязательств Фонда.</w:t>
            </w:r>
          </w:p>
          <w:p w14:paraId="7E23F4BE" w14:textId="348BBAEA" w:rsidR="00FD4017" w:rsidRDefault="00E441AB" w:rsidP="00D64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D2A">
              <w:rPr>
                <w:rFonts w:ascii="Times New Roman" w:hAnsi="Times New Roman" w:cs="Times New Roman"/>
                <w:sz w:val="24"/>
                <w:szCs w:val="24"/>
              </w:rPr>
              <w:t xml:space="preserve">При расторжении договора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НПО </w:t>
            </w:r>
            <w:r w:rsidRPr="00046D2A">
              <w:rPr>
                <w:rFonts w:ascii="Times New Roman" w:hAnsi="Times New Roman" w:cs="Times New Roman"/>
                <w:sz w:val="24"/>
                <w:szCs w:val="24"/>
              </w:rPr>
              <w:t>Вкладчик (Участник) имеет право получить в Фонде выкупную сумму или перевести ее в другой негосударственный пенсионный фонд, имеющий соответствующую лицензию, предоставляющую право на осуществление деятельности по негосударственному пенсионному обеспечению</w:t>
            </w:r>
            <w:r w:rsidR="0076145C" w:rsidRPr="0076145C">
              <w:rPr>
                <w:rFonts w:ascii="Times New Roman" w:hAnsi="Times New Roman" w:cs="Times New Roman"/>
                <w:sz w:val="24"/>
                <w:szCs w:val="24"/>
              </w:rPr>
              <w:t>, если расторжение пенсионного договора предусмотрено условиями пенсионного договора и пенсионной схемой</w:t>
            </w:r>
            <w:r w:rsidRPr="00761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E5A964" w14:textId="77777777" w:rsidR="005C7443" w:rsidRPr="005C7443" w:rsidRDefault="005C7443" w:rsidP="005C7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43">
              <w:rPr>
                <w:rFonts w:ascii="Times New Roman" w:hAnsi="Times New Roman" w:cs="Times New Roman"/>
                <w:sz w:val="24"/>
                <w:szCs w:val="24"/>
              </w:rPr>
              <w:t>При расторжении договора НПО размер выкупной суммы зависит от продолжительности действия договора НПО и размера коэффициента, применяемого к фактическому инвестиционному доходу, начисленному за время действия договора НПО, в соответствии с условиями договора НПО и Пенсионными правилами Фонда. При этом направляемая в соответствии с договором НПО часть суммы пенсионных взносов на формирование собственных средств (не более 3%) не включаются в выкупную сумму. Порядок расчета выкупной суммы приведен в разделе 8 настоящего ключевого информационного документа.</w:t>
            </w:r>
          </w:p>
          <w:p w14:paraId="7067FD07" w14:textId="16A02C7C" w:rsidR="001C0B6B" w:rsidRPr="00144E65" w:rsidRDefault="005C7443" w:rsidP="005C744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43">
              <w:rPr>
                <w:rFonts w:ascii="Times New Roman" w:hAnsi="Times New Roman" w:cs="Times New Roman"/>
                <w:sz w:val="24"/>
                <w:szCs w:val="24"/>
              </w:rPr>
              <w:t>Порядок расчета удержаний Фонда и удержаний, как налогового агента налога на доходы физического лица, приведен в разделе 6 настоящего ключевого информационного документа.</w:t>
            </w:r>
          </w:p>
        </w:tc>
      </w:tr>
      <w:tr w:rsidR="00E441AB" w14:paraId="77C5E40B" w14:textId="77777777" w:rsidTr="00FE1F78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5E60D5FA" w14:textId="5C64AFB6" w:rsidR="00E441AB" w:rsidRPr="00AD7BEB" w:rsidRDefault="00E441AB" w:rsidP="00AD7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10" w:type="dxa"/>
          </w:tcPr>
          <w:p w14:paraId="4DD10546" w14:textId="580BF91E" w:rsidR="00E441AB" w:rsidRPr="00AD7BEB" w:rsidRDefault="00E441AB" w:rsidP="00AD7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BEB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основных </w:t>
            </w:r>
          </w:p>
          <w:p w14:paraId="66C42AE4" w14:textId="77777777" w:rsidR="00E441AB" w:rsidRDefault="00E441AB" w:rsidP="00AD7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BEB">
              <w:rPr>
                <w:rFonts w:ascii="Times New Roman" w:hAnsi="Times New Roman" w:cs="Times New Roman"/>
                <w:sz w:val="24"/>
                <w:szCs w:val="24"/>
              </w:rPr>
              <w:t>рисков услуги</w:t>
            </w:r>
          </w:p>
        </w:tc>
        <w:tc>
          <w:tcPr>
            <w:tcW w:w="7088" w:type="dxa"/>
          </w:tcPr>
          <w:p w14:paraId="4FAE9639" w14:textId="12E00204" w:rsidR="00E441AB" w:rsidRDefault="00E441AB" w:rsidP="00787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877">
              <w:rPr>
                <w:rFonts w:ascii="Times New Roman" w:hAnsi="Times New Roman" w:cs="Times New Roman"/>
                <w:sz w:val="24"/>
                <w:szCs w:val="24"/>
              </w:rPr>
              <w:t>Доход от инвестирования средств пенсионных резервов может увеличиваться или уменьшаться, результаты инвестирования в прошлом не гарантируют результатов инвестирования в будущем</w:t>
            </w:r>
            <w:r w:rsidR="00532DD0">
              <w:rPr>
                <w:rFonts w:ascii="Times New Roman" w:hAnsi="Times New Roman" w:cs="Times New Roman"/>
                <w:sz w:val="24"/>
                <w:szCs w:val="24"/>
              </w:rPr>
              <w:t>, государство не гарантирует доходности пенсионных резервов</w:t>
            </w:r>
            <w:r w:rsidRPr="00C848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41AB" w14:paraId="64BBD688" w14:textId="77777777" w:rsidTr="00FE1F78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7AFF1F3D" w14:textId="60096261" w:rsidR="00E441AB" w:rsidRPr="00AD7BEB" w:rsidRDefault="00E441AB" w:rsidP="00AD7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14:paraId="7DCA63F1" w14:textId="43FDCF1B" w:rsidR="00E441AB" w:rsidRPr="00AD7BEB" w:rsidRDefault="00E441AB" w:rsidP="00AD7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BEB">
              <w:rPr>
                <w:rFonts w:ascii="Times New Roman" w:hAnsi="Times New Roman" w:cs="Times New Roman"/>
                <w:sz w:val="24"/>
                <w:szCs w:val="24"/>
              </w:rPr>
              <w:t xml:space="preserve">Сборы и платежи, </w:t>
            </w:r>
          </w:p>
          <w:p w14:paraId="58690EC2" w14:textId="77777777" w:rsidR="00E441AB" w:rsidRPr="00AD7BEB" w:rsidRDefault="00E441AB" w:rsidP="00AD7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BEB">
              <w:rPr>
                <w:rFonts w:ascii="Times New Roman" w:hAnsi="Times New Roman" w:cs="Times New Roman"/>
                <w:sz w:val="24"/>
                <w:szCs w:val="24"/>
              </w:rPr>
              <w:t xml:space="preserve">которые подлежат </w:t>
            </w:r>
          </w:p>
          <w:p w14:paraId="51680C35" w14:textId="77777777" w:rsidR="00E441AB" w:rsidRPr="00AD7BEB" w:rsidRDefault="00E441AB" w:rsidP="00AD7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BEB">
              <w:rPr>
                <w:rFonts w:ascii="Times New Roman" w:hAnsi="Times New Roman" w:cs="Times New Roman"/>
                <w:sz w:val="24"/>
                <w:szCs w:val="24"/>
              </w:rPr>
              <w:t xml:space="preserve">уплате получателем </w:t>
            </w:r>
          </w:p>
          <w:p w14:paraId="1FA91E07" w14:textId="77777777" w:rsidR="00E441AB" w:rsidRDefault="00E441AB" w:rsidP="00AD7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BE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7088" w:type="dxa"/>
          </w:tcPr>
          <w:p w14:paraId="269A9C58" w14:textId="4611CAA2" w:rsidR="005C7443" w:rsidRPr="005C7443" w:rsidRDefault="005C7443" w:rsidP="005C74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43">
              <w:rPr>
                <w:rFonts w:ascii="Times New Roman" w:hAnsi="Times New Roman" w:cs="Times New Roman"/>
                <w:sz w:val="24"/>
                <w:szCs w:val="24"/>
              </w:rPr>
              <w:t>Фонд имеет право направлять часть суммы пенсионных взносов (не более 3%) на формирование собственных средств в размерах, не превышающих величину, установленную законодательством Российской Федерации, действующим на дату заключения договора НПО, в порядке, определенном Пенсионными правилами и договором НПО. Указанные отчисления не включаются в размер выкупной суммы, выплачиваемой Вкладчику при расторжении договора НПО или Участнику, не являющемуся Вкладчиком в свою пользу, а также в размер выкупной суммы, выплачиваемой правопреемникам умершего Участника или Участника, являющегося Вкладчиком в свою пользу.</w:t>
            </w:r>
          </w:p>
          <w:p w14:paraId="1828C2E5" w14:textId="133DBA23" w:rsidR="00B860B1" w:rsidRPr="00B860B1" w:rsidRDefault="00B860B1" w:rsidP="00B86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пунктом 2 статьи 213.1 </w:t>
            </w:r>
            <w:r w:rsidRPr="00B860B1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Налогового кодекса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860B1">
              <w:rPr>
                <w:rFonts w:ascii="Times New Roman" w:hAnsi="Times New Roman" w:cs="Times New Roman"/>
                <w:sz w:val="24"/>
                <w:szCs w:val="24"/>
              </w:rPr>
              <w:t xml:space="preserve">ри определении налоговой базы по договорам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НПО</w:t>
            </w:r>
            <w:r w:rsidRPr="00B86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F8D" w:rsidRPr="00441F8D">
              <w:rPr>
                <w:rFonts w:ascii="Times New Roman" w:hAnsi="Times New Roman" w:cs="Times New Roman"/>
                <w:sz w:val="24"/>
                <w:szCs w:val="24"/>
              </w:rPr>
              <w:t>по пенсионным схемам № 1 и № 4</w:t>
            </w:r>
            <w:r w:rsidR="00441F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60B1">
              <w:rPr>
                <w:rFonts w:ascii="Times New Roman" w:hAnsi="Times New Roman" w:cs="Times New Roman"/>
                <w:sz w:val="24"/>
                <w:szCs w:val="24"/>
              </w:rPr>
              <w:t xml:space="preserve">учитываются: </w:t>
            </w:r>
          </w:p>
          <w:p w14:paraId="130F424B" w14:textId="77777777" w:rsidR="001304B1" w:rsidRPr="001304B1" w:rsidRDefault="00B860B1" w:rsidP="009C71F7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349">
              <w:rPr>
                <w:rFonts w:ascii="Times New Roman" w:hAnsi="Times New Roman" w:cs="Times New Roman"/>
                <w:sz w:val="24"/>
                <w:szCs w:val="24"/>
              </w:rPr>
              <w:t xml:space="preserve">суммы пенсий, выплачиваемых по договорам </w:t>
            </w:r>
            <w:r w:rsidR="0055728C">
              <w:rPr>
                <w:rFonts w:ascii="Times New Roman" w:hAnsi="Times New Roman" w:cs="Times New Roman"/>
                <w:sz w:val="24"/>
                <w:szCs w:val="24"/>
              </w:rPr>
              <w:t>НПО</w:t>
            </w:r>
            <w:r w:rsidRPr="00D75349">
              <w:rPr>
                <w:rFonts w:ascii="Times New Roman" w:hAnsi="Times New Roman" w:cs="Times New Roman"/>
                <w:sz w:val="24"/>
                <w:szCs w:val="24"/>
              </w:rPr>
              <w:t xml:space="preserve">, заключенным физическими лицами с </w:t>
            </w:r>
            <w:r w:rsidR="0055728C">
              <w:rPr>
                <w:rFonts w:ascii="Times New Roman" w:hAnsi="Times New Roman" w:cs="Times New Roman"/>
                <w:sz w:val="24"/>
                <w:szCs w:val="24"/>
              </w:rPr>
              <w:t>Фондом</w:t>
            </w:r>
            <w:r w:rsidRPr="00D75349">
              <w:rPr>
                <w:rFonts w:ascii="Times New Roman" w:hAnsi="Times New Roman" w:cs="Times New Roman"/>
                <w:sz w:val="24"/>
                <w:szCs w:val="24"/>
              </w:rPr>
              <w:t xml:space="preserve"> в пользу других лиц;</w:t>
            </w:r>
          </w:p>
          <w:p w14:paraId="72581238" w14:textId="4B6EF4B0" w:rsidR="00B860B1" w:rsidRPr="00B1473F" w:rsidRDefault="0055728C" w:rsidP="009C71F7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1473F">
              <w:rPr>
                <w:rFonts w:ascii="Times New Roman" w:hAnsi="Times New Roman" w:cs="Times New Roman"/>
                <w:sz w:val="24"/>
                <w:szCs w:val="24"/>
              </w:rPr>
              <w:t>выкупные</w:t>
            </w:r>
            <w:r w:rsidR="00B860B1" w:rsidRPr="00B1473F">
              <w:rPr>
                <w:rFonts w:ascii="Times New Roman" w:hAnsi="Times New Roman" w:cs="Times New Roman"/>
                <w:sz w:val="24"/>
                <w:szCs w:val="24"/>
              </w:rPr>
              <w:t xml:space="preserve"> суммы за вычетом сумм </w:t>
            </w:r>
            <w:r w:rsidRPr="00B1473F">
              <w:rPr>
                <w:rFonts w:ascii="Times New Roman" w:hAnsi="Times New Roman" w:cs="Times New Roman"/>
                <w:sz w:val="24"/>
                <w:szCs w:val="24"/>
              </w:rPr>
              <w:t>пенсионных взносов</w:t>
            </w:r>
            <w:r w:rsidR="00B860B1" w:rsidRPr="00B1473F">
              <w:rPr>
                <w:rFonts w:ascii="Times New Roman" w:hAnsi="Times New Roman" w:cs="Times New Roman"/>
                <w:sz w:val="24"/>
                <w:szCs w:val="24"/>
              </w:rPr>
              <w:t>, внесенных физическим лицом в свою пользу, которые под</w:t>
            </w:r>
            <w:r w:rsidRPr="00B1473F">
              <w:rPr>
                <w:rFonts w:ascii="Times New Roman" w:hAnsi="Times New Roman" w:cs="Times New Roman"/>
                <w:sz w:val="24"/>
                <w:szCs w:val="24"/>
              </w:rPr>
              <w:t>лежат выплате в соответствии с П</w:t>
            </w:r>
            <w:r w:rsidR="00B860B1" w:rsidRPr="00B1473F">
              <w:rPr>
                <w:rFonts w:ascii="Times New Roman" w:hAnsi="Times New Roman" w:cs="Times New Roman"/>
                <w:sz w:val="24"/>
                <w:szCs w:val="24"/>
              </w:rPr>
              <w:t xml:space="preserve">енсионными правилами и условиями договоров </w:t>
            </w:r>
            <w:r w:rsidRPr="00B1473F">
              <w:rPr>
                <w:rFonts w:ascii="Times New Roman" w:hAnsi="Times New Roman" w:cs="Times New Roman"/>
                <w:sz w:val="24"/>
                <w:szCs w:val="24"/>
              </w:rPr>
              <w:t>НПО</w:t>
            </w:r>
            <w:r w:rsidR="00B860B1" w:rsidRPr="00B1473F">
              <w:rPr>
                <w:rFonts w:ascii="Times New Roman" w:hAnsi="Times New Roman" w:cs="Times New Roman"/>
                <w:sz w:val="24"/>
                <w:szCs w:val="24"/>
              </w:rPr>
              <w:t xml:space="preserve">, заключенных с </w:t>
            </w:r>
            <w:r w:rsidRPr="00B1473F">
              <w:rPr>
                <w:rFonts w:ascii="Times New Roman" w:hAnsi="Times New Roman" w:cs="Times New Roman"/>
                <w:sz w:val="24"/>
                <w:szCs w:val="24"/>
              </w:rPr>
              <w:t>Фондом</w:t>
            </w:r>
            <w:r w:rsidR="00B860B1" w:rsidRPr="00B1473F">
              <w:rPr>
                <w:rFonts w:ascii="Times New Roman" w:hAnsi="Times New Roman" w:cs="Times New Roman"/>
                <w:sz w:val="24"/>
                <w:szCs w:val="24"/>
              </w:rPr>
              <w:t xml:space="preserve">, в случае досрочного расторжения указанных </w:t>
            </w:r>
            <w:r w:rsidR="00B860B1" w:rsidRPr="00B147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договоров (за исключением случаев их досрочного расторжения по причинам, не зависящим от воли сторон, или перевода выкупной суммы в другой негосударственный пенсионный фонд), а также в случае изменения условий указанных договоров в отношении срока их действия</w:t>
            </w:r>
            <w:r w:rsidR="008F417E" w:rsidRPr="00B1473F">
              <w:rPr>
                <w:rFonts w:ascii="Times New Roman" w:hAnsi="Times New Roman" w:cs="Times New Roman"/>
                <w:sz w:val="24"/>
                <w:szCs w:val="24"/>
              </w:rPr>
              <w:t xml:space="preserve">, за </w:t>
            </w:r>
            <w:r w:rsidR="008F417E" w:rsidRPr="00B1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исключением сумм пенсий, выплачиваемых по договорам </w:t>
            </w:r>
            <w:r w:rsidR="00B1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НПО</w:t>
            </w:r>
            <w:r w:rsidR="008F417E" w:rsidRPr="00B1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заключенным физическими лицами с </w:t>
            </w:r>
            <w:r w:rsidR="00B1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Фондом</w:t>
            </w:r>
            <w:r w:rsidR="008F417E" w:rsidRPr="00B1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пользу членов семьи и (или) близких родственников в</w:t>
            </w:r>
            <w:r w:rsidR="008F417E" w:rsidRPr="00B14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17E" w:rsidRPr="00B1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соответствии с Семейным кодексом Российской Федерации (супругов, родителей и детей, в том числе усыновителей и усыновленных, дедушки, бабушки и внуков, полнородных и </w:t>
            </w:r>
            <w:proofErr w:type="spellStart"/>
            <w:r w:rsidR="008F417E" w:rsidRPr="00B1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неполнородных</w:t>
            </w:r>
            <w:proofErr w:type="spellEnd"/>
            <w:r w:rsidR="008F417E" w:rsidRPr="00B1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(имеющих общих отца или</w:t>
            </w:r>
            <w:r w:rsidR="008F417E" w:rsidRPr="00B14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17E" w:rsidRPr="00B14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мать) братьев и сестер), детей-инвалидов, находящихся под опекой (попечительством)</w:t>
            </w:r>
            <w:r w:rsidR="00B860B1" w:rsidRPr="00B147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BFE242" w14:textId="5299B535" w:rsidR="00B860B1" w:rsidRPr="00B860B1" w:rsidRDefault="00B860B1" w:rsidP="00B86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1">
              <w:rPr>
                <w:rFonts w:ascii="Times New Roman" w:hAnsi="Times New Roman" w:cs="Times New Roman"/>
                <w:sz w:val="24"/>
                <w:szCs w:val="24"/>
              </w:rPr>
              <w:t>Указанные суммы подлежат налогообложению у источника выплат.</w:t>
            </w:r>
          </w:p>
          <w:p w14:paraId="5FFF3E99" w14:textId="6DCBEB20" w:rsidR="00B860B1" w:rsidRPr="00B860B1" w:rsidRDefault="00B860B1" w:rsidP="00B86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1">
              <w:rPr>
                <w:rFonts w:ascii="Times New Roman" w:hAnsi="Times New Roman" w:cs="Times New Roman"/>
                <w:sz w:val="24"/>
                <w:szCs w:val="24"/>
              </w:rPr>
              <w:t xml:space="preserve">Внесенные физическим лицом по договору </w:t>
            </w:r>
            <w:r w:rsidR="0055728C">
              <w:rPr>
                <w:rFonts w:ascii="Times New Roman" w:hAnsi="Times New Roman" w:cs="Times New Roman"/>
                <w:sz w:val="24"/>
                <w:szCs w:val="24"/>
              </w:rPr>
              <w:t xml:space="preserve">НПО </w:t>
            </w:r>
            <w:r w:rsidRPr="00B860B1">
              <w:rPr>
                <w:rFonts w:ascii="Times New Roman" w:hAnsi="Times New Roman" w:cs="Times New Roman"/>
                <w:sz w:val="24"/>
                <w:szCs w:val="24"/>
              </w:rPr>
              <w:t xml:space="preserve">суммы платежей (взносов), в отношении которых физическому лицу был предоставлен социальный налоговый вычет, указанный в подпункте 4 пункта 1 статьи 219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Налогового</w:t>
            </w:r>
            <w:r w:rsidRPr="00B86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60B1">
              <w:rPr>
                <w:rFonts w:ascii="Times New Roman" w:hAnsi="Times New Roman" w:cs="Times New Roman"/>
                <w:sz w:val="24"/>
                <w:szCs w:val="24"/>
              </w:rPr>
              <w:t>одекса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Pr="00B860B1">
              <w:rPr>
                <w:rFonts w:ascii="Times New Roman" w:hAnsi="Times New Roman" w:cs="Times New Roman"/>
                <w:sz w:val="24"/>
                <w:szCs w:val="24"/>
              </w:rPr>
              <w:t xml:space="preserve">, подлежат налогообложению при выплате </w:t>
            </w:r>
            <w:r w:rsidR="0055728C">
              <w:rPr>
                <w:rFonts w:ascii="Times New Roman" w:hAnsi="Times New Roman" w:cs="Times New Roman"/>
                <w:sz w:val="24"/>
                <w:szCs w:val="24"/>
              </w:rPr>
              <w:t>выкупной</w:t>
            </w:r>
            <w:r w:rsidRPr="00B860B1">
              <w:rPr>
                <w:rFonts w:ascii="Times New Roman" w:hAnsi="Times New Roman" w:cs="Times New Roman"/>
                <w:sz w:val="24"/>
                <w:szCs w:val="24"/>
              </w:rPr>
              <w:t xml:space="preserve"> суммы (за исключением случаев досрочного расторжения указанного договора по причинам, не зависящим от воли сторон, или перевода денежной (выкупной) суммы в другой негосударственный пенсионный фонд).</w:t>
            </w:r>
          </w:p>
          <w:p w14:paraId="5E114CF8" w14:textId="3E1A0E60" w:rsidR="00B860B1" w:rsidRPr="00B860B1" w:rsidRDefault="00B860B1" w:rsidP="00B86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1">
              <w:rPr>
                <w:rFonts w:ascii="Times New Roman" w:hAnsi="Times New Roman" w:cs="Times New Roman"/>
                <w:sz w:val="24"/>
                <w:szCs w:val="24"/>
              </w:rPr>
              <w:t xml:space="preserve">При этом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860B1">
              <w:rPr>
                <w:rFonts w:ascii="Times New Roman" w:hAnsi="Times New Roman" w:cs="Times New Roman"/>
                <w:sz w:val="24"/>
                <w:szCs w:val="24"/>
              </w:rPr>
              <w:t xml:space="preserve">онд при выплате физическому лицу выкупных сумм обязан удержать сумму налога, исчисленную с суммы дохода, равной сумме </w:t>
            </w:r>
            <w:r w:rsidR="0055728C">
              <w:rPr>
                <w:rFonts w:ascii="Times New Roman" w:hAnsi="Times New Roman" w:cs="Times New Roman"/>
                <w:sz w:val="24"/>
                <w:szCs w:val="24"/>
              </w:rPr>
              <w:t xml:space="preserve">пенсионных </w:t>
            </w:r>
            <w:r w:rsidRPr="00B860B1">
              <w:rPr>
                <w:rFonts w:ascii="Times New Roman" w:hAnsi="Times New Roman" w:cs="Times New Roman"/>
                <w:sz w:val="24"/>
                <w:szCs w:val="24"/>
              </w:rPr>
              <w:t>взносов, уплаченных физическим лицом по этому договору, за каждый календарный год, в котором налогоплательщик имел право на получение социального налогового вычета, указанного в подпункте 4 пункта 1 статьи 219 Налогового кодекса Российской Федерации.</w:t>
            </w:r>
          </w:p>
          <w:p w14:paraId="1720E9F3" w14:textId="20CB493C" w:rsidR="00B860B1" w:rsidRDefault="00B860B1" w:rsidP="00B860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0B1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налогоплательщик предоставил справку, выданную налоговым органом по месту жительства налогоплательщика, подтверждающую неполучение налогоплательщиком социального налогового вычета либо подтверждающую факт получения налогоплательщиком суммы социального налогового вычета, указанного в подпункте 4 пункта 1 статьи 219 Налогового кодекса Российской Федерации,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860B1">
              <w:rPr>
                <w:rFonts w:ascii="Times New Roman" w:hAnsi="Times New Roman" w:cs="Times New Roman"/>
                <w:sz w:val="24"/>
                <w:szCs w:val="24"/>
              </w:rPr>
              <w:t>онд соответственно не удерживает либо исчисляет сумму налога, подлежащую удержанию.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41AB" w14:paraId="715B1AAD" w14:textId="77777777" w:rsidTr="00FE1F78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475FDBBD" w14:textId="7A079BEE" w:rsidR="00E441AB" w:rsidRPr="00AD4B95" w:rsidRDefault="00E441AB" w:rsidP="00AD7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10" w:type="dxa"/>
          </w:tcPr>
          <w:p w14:paraId="152215A5" w14:textId="285E5E99" w:rsidR="00E441AB" w:rsidRDefault="00E441AB" w:rsidP="00AD7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95">
              <w:rPr>
                <w:rFonts w:ascii="Times New Roman" w:hAnsi="Times New Roman" w:cs="Times New Roman"/>
                <w:sz w:val="24"/>
                <w:szCs w:val="24"/>
              </w:rPr>
              <w:t>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ция приема обращений </w:t>
            </w:r>
            <w:r w:rsidRPr="00AD4B95">
              <w:rPr>
                <w:rFonts w:ascii="Times New Roman" w:hAnsi="Times New Roman" w:cs="Times New Roman"/>
                <w:sz w:val="24"/>
                <w:szCs w:val="24"/>
              </w:rPr>
              <w:t>получателей финансовых услуг</w:t>
            </w:r>
          </w:p>
        </w:tc>
        <w:tc>
          <w:tcPr>
            <w:tcW w:w="7088" w:type="dxa"/>
          </w:tcPr>
          <w:p w14:paraId="14EDE904" w14:textId="04666207" w:rsidR="00E441AB" w:rsidRDefault="00E441AB" w:rsidP="00871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BEB">
              <w:rPr>
                <w:rFonts w:ascii="Times New Roman" w:hAnsi="Times New Roman" w:cs="Times New Roman"/>
                <w:sz w:val="24"/>
                <w:szCs w:val="24"/>
              </w:rPr>
              <w:t>Обращения от Вкладчиков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(Участников) направляются</w:t>
            </w:r>
            <w:r w:rsidRPr="00AD7BEB">
              <w:rPr>
                <w:rFonts w:ascii="Times New Roman" w:hAnsi="Times New Roman" w:cs="Times New Roman"/>
                <w:sz w:val="24"/>
                <w:szCs w:val="24"/>
              </w:rPr>
              <w:t xml:space="preserve"> в Фонд одним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следующих </w:t>
            </w:r>
            <w:r w:rsidRPr="00AD7BEB">
              <w:rPr>
                <w:rFonts w:ascii="Times New Roman" w:hAnsi="Times New Roman" w:cs="Times New Roman"/>
                <w:sz w:val="24"/>
                <w:szCs w:val="24"/>
              </w:rPr>
              <w:t>способов:</w:t>
            </w:r>
          </w:p>
          <w:p w14:paraId="70BAC0B6" w14:textId="1F63A4DB" w:rsidR="00E441AB" w:rsidRDefault="00E441AB" w:rsidP="008716A7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6A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Pr="008716A7">
              <w:rPr>
                <w:rFonts w:ascii="Times New Roman" w:hAnsi="Times New Roman" w:cs="Times New Roman"/>
                <w:sz w:val="24"/>
                <w:szCs w:val="24"/>
              </w:rPr>
              <w:t>электронн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716A7">
              <w:rPr>
                <w:rFonts w:ascii="Times New Roman" w:hAnsi="Times New Roman" w:cs="Times New Roman"/>
                <w:sz w:val="24"/>
                <w:szCs w:val="24"/>
              </w:rPr>
              <w:t xml:space="preserve"> почт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716A7"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71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8716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npf</w:t>
              </w:r>
              <w:r w:rsidRPr="008716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716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apk</w:t>
              </w:r>
              <w:r w:rsidRPr="008716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8716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fond</w:t>
              </w:r>
              <w:r w:rsidRPr="008716A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716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716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7C4041" w14:textId="784F2E75" w:rsidR="00E441AB" w:rsidRDefault="00E441AB" w:rsidP="008716A7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9D2">
              <w:rPr>
                <w:rFonts w:ascii="Times New Roman" w:hAnsi="Times New Roman" w:cs="Times New Roman"/>
                <w:sz w:val="24"/>
                <w:szCs w:val="24"/>
              </w:rPr>
              <w:t xml:space="preserve">заказным письмом по почте либо вручаются под расписку уполномоченному работнику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Фонда</w:t>
            </w:r>
            <w:r w:rsidRPr="008716A7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123112, г. Москва, Пресненская наб., дом 12, этаж 45, комн. 43-45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A562B5" w14:textId="1DDC3A22" w:rsidR="00E441AB" w:rsidRPr="00AD7BEB" w:rsidRDefault="00E441AB" w:rsidP="00871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C97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срок рассмотрения обращений составляет 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(Тридцать) </w:t>
            </w:r>
            <w:r w:rsidRPr="00BC6C97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календарных дней. </w:t>
            </w:r>
          </w:p>
          <w:p w14:paraId="5FEE506F" w14:textId="65EAE3E1" w:rsidR="00E441AB" w:rsidRDefault="00E441AB" w:rsidP="00871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30B">
              <w:rPr>
                <w:rFonts w:ascii="Times New Roman" w:hAnsi="Times New Roman" w:cs="Times New Roman"/>
                <w:sz w:val="24"/>
                <w:szCs w:val="24"/>
              </w:rPr>
              <w:t xml:space="preserve">Орган, осуществляющий полномочия по контролю и надзору за деятельностью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Фонда</w:t>
            </w:r>
            <w:r w:rsidRPr="00AC53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C899AA" w14:textId="50FABD0C" w:rsidR="00E441AB" w:rsidRPr="00AD7BEB" w:rsidRDefault="00E441AB" w:rsidP="00871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банк </w:t>
            </w:r>
            <w:r w:rsidRPr="00AD7BEB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(Банк России)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9F979C" w14:textId="2D041657" w:rsidR="00E441AB" w:rsidRDefault="00E441AB" w:rsidP="004B5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04C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Банка России в сети «Интернет»: </w:t>
            </w:r>
            <w:hyperlink r:id="rId8" w:history="1">
              <w:r w:rsidR="00FE1F78" w:rsidRPr="008319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FE1F78" w:rsidRPr="008319A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="00FE1F78" w:rsidRPr="008319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://www.cbr.ru/</w:t>
              </w:r>
            </w:hyperlink>
          </w:p>
          <w:p w14:paraId="24880AE0" w14:textId="77777777" w:rsidR="00E441AB" w:rsidRPr="004B504C" w:rsidRDefault="00E441AB" w:rsidP="004B5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04C">
              <w:rPr>
                <w:rFonts w:ascii="Times New Roman" w:hAnsi="Times New Roman" w:cs="Times New Roman"/>
                <w:sz w:val="24"/>
                <w:szCs w:val="24"/>
              </w:rPr>
              <w:t>Обращения и претензии получателей финансовых услуг могут быть направлены в Банк России:</w:t>
            </w:r>
          </w:p>
          <w:p w14:paraId="1215E6A1" w14:textId="77777777" w:rsidR="00E441AB" w:rsidRPr="004B504C" w:rsidRDefault="00E441AB" w:rsidP="004B5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0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• через интернет-приемную Банка России;</w:t>
            </w:r>
          </w:p>
          <w:p w14:paraId="6D3D6B41" w14:textId="77777777" w:rsidR="00E441AB" w:rsidRPr="004B504C" w:rsidRDefault="00E441AB" w:rsidP="004B5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04C">
              <w:rPr>
                <w:rFonts w:ascii="Times New Roman" w:hAnsi="Times New Roman" w:cs="Times New Roman"/>
                <w:sz w:val="24"/>
                <w:szCs w:val="24"/>
              </w:rPr>
              <w:t xml:space="preserve">   • факсом по номерам + 7 495 621-64-65, +7 495 621-62-88, проверка прохождения факса +7 495 771-48-30;</w:t>
            </w:r>
          </w:p>
          <w:p w14:paraId="27CB29C0" w14:textId="77777777" w:rsidR="00E441AB" w:rsidRDefault="00E441AB" w:rsidP="004B5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04C">
              <w:rPr>
                <w:rFonts w:ascii="Times New Roman" w:hAnsi="Times New Roman" w:cs="Times New Roman"/>
                <w:sz w:val="24"/>
                <w:szCs w:val="24"/>
              </w:rPr>
              <w:t xml:space="preserve">   • почтой, почтовый адрес для письменных обращений: 107016, г. Москва, ул. Неглинная, д. 12, Банк России.</w:t>
            </w:r>
          </w:p>
          <w:p w14:paraId="28D43DFF" w14:textId="0A1B7E94" w:rsidR="00FE1F78" w:rsidRPr="00FE1F78" w:rsidRDefault="00E441AB" w:rsidP="008716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B95">
              <w:rPr>
                <w:rFonts w:ascii="Times New Roman" w:hAnsi="Times New Roman" w:cs="Times New Roman"/>
                <w:sz w:val="24"/>
                <w:szCs w:val="24"/>
              </w:rPr>
              <w:t>Служба по защите прав потребителей и обеспечению доступности финансовых услуг Банка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E1F78" w:rsidRPr="00FE1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1F78" w:rsidRPr="00FE1F7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</w:t>
            </w:r>
            <w:proofErr w:type="spellEnd"/>
            <w:r w:rsidR="00FE1F78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FE1F78" w:rsidRPr="00FE1F7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://www.cbr.ru/protection_rights/</w:t>
            </w:r>
          </w:p>
        </w:tc>
      </w:tr>
      <w:tr w:rsidR="00E441AB" w14:paraId="58F511D2" w14:textId="77777777" w:rsidTr="00FE1F78">
        <w:tblPrEx>
          <w:tblLook w:val="04A0" w:firstRow="1" w:lastRow="0" w:firstColumn="1" w:lastColumn="0" w:noHBand="0" w:noVBand="1"/>
        </w:tblPrEx>
        <w:tc>
          <w:tcPr>
            <w:tcW w:w="704" w:type="dxa"/>
          </w:tcPr>
          <w:p w14:paraId="49191479" w14:textId="1AE21B34" w:rsidR="00E441AB" w:rsidRPr="00C82A01" w:rsidRDefault="00E441AB" w:rsidP="00C82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410" w:type="dxa"/>
          </w:tcPr>
          <w:p w14:paraId="4F1B6425" w14:textId="437DB86D" w:rsidR="00E441AB" w:rsidRPr="00C82A01" w:rsidRDefault="00E441AB" w:rsidP="00C82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A01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</w:p>
          <w:p w14:paraId="68DDBEAC" w14:textId="77777777" w:rsidR="00E441AB" w:rsidRPr="00C82A01" w:rsidRDefault="00E441AB" w:rsidP="00C82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A01">
              <w:rPr>
                <w:rFonts w:ascii="Times New Roman" w:hAnsi="Times New Roman" w:cs="Times New Roman"/>
                <w:sz w:val="24"/>
                <w:szCs w:val="24"/>
              </w:rPr>
              <w:t xml:space="preserve">релевантная </w:t>
            </w:r>
          </w:p>
          <w:p w14:paraId="1DE8C785" w14:textId="77777777" w:rsidR="00E441AB" w:rsidRPr="00AD7BEB" w:rsidRDefault="00E441AB" w:rsidP="00C82A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A01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7088" w:type="dxa"/>
          </w:tcPr>
          <w:p w14:paraId="063AF689" w14:textId="77777777" w:rsidR="00E441AB" w:rsidRDefault="00E441AB" w:rsidP="00C01D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Вкладчик обязан с</w:t>
            </w:r>
            <w:r w:rsidRPr="00102EEC">
              <w:rPr>
                <w:rFonts w:ascii="Times New Roman" w:hAnsi="Times New Roman" w:cs="Times New Roman"/>
                <w:sz w:val="24"/>
                <w:szCs w:val="24"/>
              </w:rPr>
              <w:t>ообщать в Фонд об изменениях, влияющих на исполнение им своих обязате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льств перед Фондом, в том числе, </w:t>
            </w:r>
            <w:r w:rsidRPr="00102EEC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 известить Фонд об изменении фамилии, имени, отчества, адреса места жительства, данных документа, удостоверяющего личность, контактного телефона) в течение 30 (Тридцати) календарных дней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их фактического изменения в соответствии с п. 5.2.6. Пенсионных правил Фонда. </w:t>
            </w:r>
          </w:p>
          <w:p w14:paraId="15858DA7" w14:textId="7B0D52C2" w:rsidR="00901493" w:rsidRDefault="00E441AB" w:rsidP="00FA5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обязан </w:t>
            </w:r>
            <w:r w:rsidRPr="00102EEC">
              <w:rPr>
                <w:rFonts w:ascii="Times New Roman" w:hAnsi="Times New Roman" w:cs="Times New Roman"/>
                <w:sz w:val="24"/>
                <w:szCs w:val="24"/>
              </w:rPr>
              <w:t>сообщить в Фонд об изменениях, влияющих на исполнение Фондом своих обязательств перед Участником, в течение 5 (Пяти) рабочих дней, с даты фактического изменения, в том числе письменно известить об изменении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своих данных: фамилии, имени, </w:t>
            </w:r>
            <w:r w:rsidRPr="00102EEC">
              <w:rPr>
                <w:rFonts w:ascii="Times New Roman" w:hAnsi="Times New Roman" w:cs="Times New Roman"/>
                <w:sz w:val="24"/>
                <w:szCs w:val="24"/>
              </w:rPr>
              <w:t>отчества, данных документа, удостоверяющего личност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Участника, места жительства, </w:t>
            </w:r>
            <w:r w:rsidRPr="00102EEC">
              <w:rPr>
                <w:rFonts w:ascii="Times New Roman" w:hAnsi="Times New Roman" w:cs="Times New Roman"/>
                <w:sz w:val="24"/>
                <w:szCs w:val="24"/>
              </w:rPr>
              <w:t>банковских реквизитов (в случае, если Участником в кач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естве способа получения пенсии </w:t>
            </w:r>
            <w:r w:rsidRPr="00102EEC">
              <w:rPr>
                <w:rFonts w:ascii="Times New Roman" w:hAnsi="Times New Roman" w:cs="Times New Roman"/>
                <w:sz w:val="24"/>
                <w:szCs w:val="24"/>
              </w:rPr>
              <w:t>выбран перевод средств с расчетного счета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расчетный счет Участника в </w:t>
            </w:r>
            <w:r w:rsidRPr="00102EEC">
              <w:rPr>
                <w:rFonts w:ascii="Times New Roman" w:hAnsi="Times New Roman" w:cs="Times New Roman"/>
                <w:sz w:val="24"/>
                <w:szCs w:val="24"/>
              </w:rPr>
              <w:t>кредитно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организации), номера телефона в соответствии с п. 5.4.2. Пенсионных правил Фонда. </w:t>
            </w:r>
            <w:r w:rsidR="00901493" w:rsidRPr="009014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01493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FA55AF">
              <w:rPr>
                <w:rFonts w:ascii="Times New Roman" w:hAnsi="Times New Roman" w:cs="Times New Roman"/>
                <w:sz w:val="24"/>
                <w:szCs w:val="24"/>
              </w:rPr>
              <w:t xml:space="preserve">Пенсионной </w:t>
            </w:r>
            <w:r w:rsidR="00901493">
              <w:rPr>
                <w:rFonts w:ascii="Times New Roman" w:hAnsi="Times New Roman" w:cs="Times New Roman"/>
                <w:sz w:val="24"/>
                <w:szCs w:val="24"/>
              </w:rPr>
              <w:t xml:space="preserve">схеме № 1 </w:t>
            </w:r>
            <w:r w:rsidR="00284A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4ADE" w:rsidRPr="00284ADE">
              <w:rPr>
                <w:rFonts w:ascii="Times New Roman" w:hAnsi="Times New Roman" w:cs="Times New Roman"/>
                <w:sz w:val="24"/>
                <w:szCs w:val="24"/>
              </w:rPr>
              <w:t>енсионные взносы вносятся Вкладчиком в пользу Участника (Вкладчиком – юридическим лицом в пользу одного или нескольких Участников) и учитываются на именных пенсионных счетах Участников. Участник может выступать Вкладчиком в свою пользу.</w:t>
            </w:r>
            <w:r w:rsidR="00284ADE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901493" w:rsidRPr="00901493">
              <w:rPr>
                <w:rFonts w:ascii="Times New Roman" w:hAnsi="Times New Roman" w:cs="Times New Roman"/>
                <w:sz w:val="24"/>
                <w:szCs w:val="24"/>
              </w:rPr>
              <w:t>рава умершего Участника или Участника, являющегося Вкладчиком в свою пользу,</w:t>
            </w:r>
            <w:r w:rsidR="009014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1493" w:rsidRPr="00901493">
              <w:rPr>
                <w:rFonts w:ascii="Times New Roman" w:hAnsi="Times New Roman" w:cs="Times New Roman"/>
                <w:sz w:val="24"/>
                <w:szCs w:val="24"/>
              </w:rPr>
              <w:t>наследуются как в период накопления, так и в период</w:t>
            </w:r>
            <w:r w:rsidR="00901493">
              <w:rPr>
                <w:rFonts w:ascii="Times New Roman" w:hAnsi="Times New Roman" w:cs="Times New Roman"/>
                <w:sz w:val="24"/>
                <w:szCs w:val="24"/>
              </w:rPr>
              <w:t xml:space="preserve"> выплат пенсии в соответствии с </w:t>
            </w:r>
            <w:r w:rsidR="00901493" w:rsidRPr="00901493">
              <w:rPr>
                <w:rFonts w:ascii="Times New Roman" w:hAnsi="Times New Roman" w:cs="Times New Roman"/>
                <w:sz w:val="24"/>
                <w:szCs w:val="24"/>
              </w:rPr>
              <w:t>действующим законодательством Российской Федерации. Размер выплачиваемой выкупной суммы правопреемникам умершего Участника или Участника, являющегося Вкладчиком в свою пользу, определяется в соответствии с п</w:t>
            </w:r>
            <w:r w:rsidR="00FE1F78">
              <w:rPr>
                <w:rFonts w:ascii="Times New Roman" w:hAnsi="Times New Roman" w:cs="Times New Roman"/>
                <w:sz w:val="24"/>
                <w:szCs w:val="24"/>
              </w:rPr>
              <w:t>унктом</w:t>
            </w:r>
            <w:r w:rsidR="00901493" w:rsidRPr="00901493">
              <w:rPr>
                <w:rFonts w:ascii="Times New Roman" w:hAnsi="Times New Roman" w:cs="Times New Roman"/>
                <w:sz w:val="24"/>
                <w:szCs w:val="24"/>
              </w:rPr>
              <w:t xml:space="preserve"> 3.1.4 П</w:t>
            </w:r>
            <w:r w:rsidR="00B736C2">
              <w:rPr>
                <w:rFonts w:ascii="Times New Roman" w:hAnsi="Times New Roman" w:cs="Times New Roman"/>
                <w:sz w:val="24"/>
                <w:szCs w:val="24"/>
              </w:rPr>
              <w:t>енсионных п</w:t>
            </w:r>
            <w:r w:rsidR="00901493" w:rsidRPr="00901493">
              <w:rPr>
                <w:rFonts w:ascii="Times New Roman" w:hAnsi="Times New Roman" w:cs="Times New Roman"/>
                <w:sz w:val="24"/>
                <w:szCs w:val="24"/>
              </w:rPr>
              <w:t>равил.</w:t>
            </w:r>
          </w:p>
          <w:p w14:paraId="4BB77AF6" w14:textId="0BAEA33E" w:rsidR="00B77E90" w:rsidRPr="00FE1F78" w:rsidRDefault="00901493" w:rsidP="00FE1F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51272A">
              <w:rPr>
                <w:rFonts w:ascii="Times New Roman" w:hAnsi="Times New Roman" w:cs="Times New Roman"/>
                <w:sz w:val="24"/>
                <w:szCs w:val="24"/>
              </w:rPr>
              <w:t xml:space="preserve">Пенсионной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схеме № 4 </w:t>
            </w:r>
            <w:r w:rsidR="00284A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4ADE" w:rsidRPr="00284ADE">
              <w:rPr>
                <w:rFonts w:ascii="Times New Roman" w:hAnsi="Times New Roman" w:cs="Times New Roman"/>
                <w:sz w:val="24"/>
                <w:szCs w:val="24"/>
              </w:rPr>
              <w:t xml:space="preserve">енсионные взносы вносятся Вкладчиком в пользу одного или нескольких Участников и учитываются на их именных пенсионных счетах. Участник может выступать Вкладчиком в свою пользу. </w:t>
            </w:r>
            <w:r w:rsidR="00284A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01493">
              <w:rPr>
                <w:rFonts w:ascii="Times New Roman" w:hAnsi="Times New Roman" w:cs="Times New Roman"/>
                <w:sz w:val="24"/>
                <w:szCs w:val="24"/>
              </w:rPr>
              <w:t>рава умершего Участника или Участника, являющегося Вкладчиком в свою пользу, наследуются только в период накопления в соответствии с действующим законодательством Российской Федерации. Размер выплачиваемой выкупной суммы правопреемникам умершего Участника или Участника, являющегося Вкладчиком в свою пользу, определяется в соответствии с п</w:t>
            </w:r>
            <w:r w:rsidR="00FE1F78">
              <w:rPr>
                <w:rFonts w:ascii="Times New Roman" w:hAnsi="Times New Roman" w:cs="Times New Roman"/>
                <w:sz w:val="24"/>
                <w:szCs w:val="24"/>
              </w:rPr>
              <w:t>унктом</w:t>
            </w:r>
            <w:r w:rsidRPr="00901493">
              <w:rPr>
                <w:rFonts w:ascii="Times New Roman" w:hAnsi="Times New Roman" w:cs="Times New Roman"/>
                <w:sz w:val="24"/>
                <w:szCs w:val="24"/>
              </w:rPr>
              <w:t xml:space="preserve"> 3.4.4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Пенсионных п</w:t>
            </w:r>
            <w:r w:rsidRPr="00901493">
              <w:rPr>
                <w:rFonts w:ascii="Times New Roman" w:hAnsi="Times New Roman" w:cs="Times New Roman"/>
                <w:sz w:val="24"/>
                <w:szCs w:val="24"/>
              </w:rPr>
              <w:t>равил.</w:t>
            </w:r>
          </w:p>
        </w:tc>
      </w:tr>
    </w:tbl>
    <w:p w14:paraId="4CB9990E" w14:textId="77777777" w:rsidR="00FE224F" w:rsidRPr="00FE224F" w:rsidRDefault="00FE224F" w:rsidP="00FE224F">
      <w:pPr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FE224F" w:rsidRPr="00FE224F" w:rsidSect="00020D2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F4FA0"/>
    <w:multiLevelType w:val="hybridMultilevel"/>
    <w:tmpl w:val="DEF29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107E6"/>
    <w:multiLevelType w:val="hybridMultilevel"/>
    <w:tmpl w:val="7A3E3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B447D"/>
    <w:multiLevelType w:val="hybridMultilevel"/>
    <w:tmpl w:val="782CB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242FE"/>
    <w:multiLevelType w:val="hybridMultilevel"/>
    <w:tmpl w:val="97BC92C6"/>
    <w:lvl w:ilvl="0" w:tplc="87C28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D7CEA"/>
    <w:multiLevelType w:val="hybridMultilevel"/>
    <w:tmpl w:val="DDF212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F0169"/>
    <w:multiLevelType w:val="multilevel"/>
    <w:tmpl w:val="529451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87511AC"/>
    <w:multiLevelType w:val="hybridMultilevel"/>
    <w:tmpl w:val="72409FC4"/>
    <w:lvl w:ilvl="0" w:tplc="87C28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8236B"/>
    <w:multiLevelType w:val="hybridMultilevel"/>
    <w:tmpl w:val="D350484A"/>
    <w:lvl w:ilvl="0" w:tplc="559CC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2428E"/>
    <w:multiLevelType w:val="hybridMultilevel"/>
    <w:tmpl w:val="24D6AEDC"/>
    <w:lvl w:ilvl="0" w:tplc="559CCD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499064A5"/>
    <w:multiLevelType w:val="hybridMultilevel"/>
    <w:tmpl w:val="98E86942"/>
    <w:lvl w:ilvl="0" w:tplc="87C28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3C3B"/>
    <w:multiLevelType w:val="hybridMultilevel"/>
    <w:tmpl w:val="DED88338"/>
    <w:lvl w:ilvl="0" w:tplc="559CCD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1" w15:restartNumberingAfterBreak="0">
    <w:nsid w:val="5CFA27D1"/>
    <w:multiLevelType w:val="hybridMultilevel"/>
    <w:tmpl w:val="52DAC562"/>
    <w:lvl w:ilvl="0" w:tplc="87C28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34753"/>
    <w:multiLevelType w:val="hybridMultilevel"/>
    <w:tmpl w:val="17743F9C"/>
    <w:lvl w:ilvl="0" w:tplc="559CC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F63AC"/>
    <w:multiLevelType w:val="hybridMultilevel"/>
    <w:tmpl w:val="07C2D5FA"/>
    <w:lvl w:ilvl="0" w:tplc="559CC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D7C5B"/>
    <w:multiLevelType w:val="hybridMultilevel"/>
    <w:tmpl w:val="164231A0"/>
    <w:lvl w:ilvl="0" w:tplc="559CCD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5" w15:restartNumberingAfterBreak="0">
    <w:nsid w:val="78651F40"/>
    <w:multiLevelType w:val="hybridMultilevel"/>
    <w:tmpl w:val="28C44846"/>
    <w:lvl w:ilvl="0" w:tplc="87C28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57B3E"/>
    <w:multiLevelType w:val="hybridMultilevel"/>
    <w:tmpl w:val="90C6643A"/>
    <w:lvl w:ilvl="0" w:tplc="559CC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E3245"/>
    <w:multiLevelType w:val="hybridMultilevel"/>
    <w:tmpl w:val="99C23A04"/>
    <w:lvl w:ilvl="0" w:tplc="559CCD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8" w15:restartNumberingAfterBreak="0">
    <w:nsid w:val="7D9A4AA2"/>
    <w:multiLevelType w:val="hybridMultilevel"/>
    <w:tmpl w:val="E6420126"/>
    <w:lvl w:ilvl="0" w:tplc="87C28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17"/>
  </w:num>
  <w:num w:numId="5">
    <w:abstractNumId w:val="8"/>
  </w:num>
  <w:num w:numId="6">
    <w:abstractNumId w:val="14"/>
  </w:num>
  <w:num w:numId="7">
    <w:abstractNumId w:val="9"/>
  </w:num>
  <w:num w:numId="8">
    <w:abstractNumId w:val="11"/>
  </w:num>
  <w:num w:numId="9">
    <w:abstractNumId w:val="3"/>
  </w:num>
  <w:num w:numId="10">
    <w:abstractNumId w:val="6"/>
  </w:num>
  <w:num w:numId="11">
    <w:abstractNumId w:val="15"/>
  </w:num>
  <w:num w:numId="12">
    <w:abstractNumId w:val="18"/>
  </w:num>
  <w:num w:numId="13">
    <w:abstractNumId w:val="4"/>
  </w:num>
  <w:num w:numId="14">
    <w:abstractNumId w:val="12"/>
  </w:num>
  <w:num w:numId="15">
    <w:abstractNumId w:val="2"/>
  </w:num>
  <w:num w:numId="16">
    <w:abstractNumId w:val="1"/>
  </w:num>
  <w:num w:numId="17">
    <w:abstractNumId w:val="5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F91"/>
    <w:rsid w:val="00020D29"/>
    <w:rsid w:val="00046D2A"/>
    <w:rsid w:val="00090491"/>
    <w:rsid w:val="000C0DCF"/>
    <w:rsid w:val="000D6031"/>
    <w:rsid w:val="000D6F38"/>
    <w:rsid w:val="000E006B"/>
    <w:rsid w:val="000E4433"/>
    <w:rsid w:val="00102EEC"/>
    <w:rsid w:val="001304B1"/>
    <w:rsid w:val="00133776"/>
    <w:rsid w:val="001348C7"/>
    <w:rsid w:val="00137949"/>
    <w:rsid w:val="00144E65"/>
    <w:rsid w:val="00157928"/>
    <w:rsid w:val="001A441A"/>
    <w:rsid w:val="001A70E2"/>
    <w:rsid w:val="001C0B6B"/>
    <w:rsid w:val="00210D58"/>
    <w:rsid w:val="00216381"/>
    <w:rsid w:val="0022043B"/>
    <w:rsid w:val="00233938"/>
    <w:rsid w:val="002578AE"/>
    <w:rsid w:val="002623BB"/>
    <w:rsid w:val="00266C98"/>
    <w:rsid w:val="00272173"/>
    <w:rsid w:val="00284ADE"/>
    <w:rsid w:val="00296E43"/>
    <w:rsid w:val="00326160"/>
    <w:rsid w:val="00327462"/>
    <w:rsid w:val="00371273"/>
    <w:rsid w:val="003A4614"/>
    <w:rsid w:val="003B3C35"/>
    <w:rsid w:val="003C18C9"/>
    <w:rsid w:val="003D2116"/>
    <w:rsid w:val="003D4F3F"/>
    <w:rsid w:val="00426E38"/>
    <w:rsid w:val="00437227"/>
    <w:rsid w:val="00441F8D"/>
    <w:rsid w:val="00447F37"/>
    <w:rsid w:val="00453FAD"/>
    <w:rsid w:val="004B504C"/>
    <w:rsid w:val="004E46FD"/>
    <w:rsid w:val="0051272A"/>
    <w:rsid w:val="00532DD0"/>
    <w:rsid w:val="0055728C"/>
    <w:rsid w:val="00572169"/>
    <w:rsid w:val="005956DD"/>
    <w:rsid w:val="005C7443"/>
    <w:rsid w:val="005D0DEB"/>
    <w:rsid w:val="005D6A69"/>
    <w:rsid w:val="0062356B"/>
    <w:rsid w:val="00636E96"/>
    <w:rsid w:val="006633A6"/>
    <w:rsid w:val="006C54EE"/>
    <w:rsid w:val="006E00D1"/>
    <w:rsid w:val="006E017B"/>
    <w:rsid w:val="006F65AD"/>
    <w:rsid w:val="00702B1E"/>
    <w:rsid w:val="007160F0"/>
    <w:rsid w:val="00760304"/>
    <w:rsid w:val="0076145C"/>
    <w:rsid w:val="0076404F"/>
    <w:rsid w:val="007659D2"/>
    <w:rsid w:val="00771CF6"/>
    <w:rsid w:val="00784BBD"/>
    <w:rsid w:val="0078756F"/>
    <w:rsid w:val="007B0762"/>
    <w:rsid w:val="007B5484"/>
    <w:rsid w:val="007C16CD"/>
    <w:rsid w:val="007C4201"/>
    <w:rsid w:val="007D50B6"/>
    <w:rsid w:val="007E6EDC"/>
    <w:rsid w:val="00820CF1"/>
    <w:rsid w:val="00830264"/>
    <w:rsid w:val="008410AE"/>
    <w:rsid w:val="00847713"/>
    <w:rsid w:val="008504E3"/>
    <w:rsid w:val="008716A7"/>
    <w:rsid w:val="00875476"/>
    <w:rsid w:val="008A1031"/>
    <w:rsid w:val="008A4EAA"/>
    <w:rsid w:val="008B2C14"/>
    <w:rsid w:val="008D0351"/>
    <w:rsid w:val="008F417E"/>
    <w:rsid w:val="00901493"/>
    <w:rsid w:val="00943A32"/>
    <w:rsid w:val="009814D0"/>
    <w:rsid w:val="00986542"/>
    <w:rsid w:val="00986567"/>
    <w:rsid w:val="009A357B"/>
    <w:rsid w:val="009C71F7"/>
    <w:rsid w:val="00A86FFC"/>
    <w:rsid w:val="00AA78FC"/>
    <w:rsid w:val="00AC530B"/>
    <w:rsid w:val="00AD4B95"/>
    <w:rsid w:val="00AD7BEB"/>
    <w:rsid w:val="00AE247A"/>
    <w:rsid w:val="00B1473F"/>
    <w:rsid w:val="00B2267D"/>
    <w:rsid w:val="00B26198"/>
    <w:rsid w:val="00B4540A"/>
    <w:rsid w:val="00B736C2"/>
    <w:rsid w:val="00B77E90"/>
    <w:rsid w:val="00B860B1"/>
    <w:rsid w:val="00BB4196"/>
    <w:rsid w:val="00BC6C97"/>
    <w:rsid w:val="00BF169F"/>
    <w:rsid w:val="00C01D6C"/>
    <w:rsid w:val="00C22CF5"/>
    <w:rsid w:val="00C35D7D"/>
    <w:rsid w:val="00C6441C"/>
    <w:rsid w:val="00C82A01"/>
    <w:rsid w:val="00C84877"/>
    <w:rsid w:val="00CD7481"/>
    <w:rsid w:val="00D342F1"/>
    <w:rsid w:val="00D646FB"/>
    <w:rsid w:val="00D67E1F"/>
    <w:rsid w:val="00D75349"/>
    <w:rsid w:val="00DB5F91"/>
    <w:rsid w:val="00DC3E68"/>
    <w:rsid w:val="00DD06EF"/>
    <w:rsid w:val="00DF1A38"/>
    <w:rsid w:val="00E441AB"/>
    <w:rsid w:val="00E52ACA"/>
    <w:rsid w:val="00E65771"/>
    <w:rsid w:val="00E66767"/>
    <w:rsid w:val="00E94899"/>
    <w:rsid w:val="00E94A7B"/>
    <w:rsid w:val="00E97391"/>
    <w:rsid w:val="00EB453C"/>
    <w:rsid w:val="00ED4695"/>
    <w:rsid w:val="00F73DDF"/>
    <w:rsid w:val="00F858F8"/>
    <w:rsid w:val="00F93091"/>
    <w:rsid w:val="00F97BC2"/>
    <w:rsid w:val="00FA55AF"/>
    <w:rsid w:val="00FB3218"/>
    <w:rsid w:val="00FD4017"/>
    <w:rsid w:val="00FE1F78"/>
    <w:rsid w:val="00FE224F"/>
    <w:rsid w:val="00FE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D8F5"/>
  <w15:chartTrackingRefBased/>
  <w15:docId w15:val="{B1C4169A-20BA-43C6-B833-A35CBED0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E224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D4B95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26E3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26E3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26E3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26E3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26E38"/>
    <w:rPr>
      <w:b/>
      <w:bCs/>
      <w:sz w:val="20"/>
      <w:szCs w:val="20"/>
    </w:rPr>
  </w:style>
  <w:style w:type="paragraph" w:customStyle="1" w:styleId="ConsPlusNormal">
    <w:name w:val="ConsPlusNormal"/>
    <w:rsid w:val="008A4E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Revision"/>
    <w:hidden/>
    <w:uiPriority w:val="99"/>
    <w:semiHidden/>
    <w:rsid w:val="00272173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8716A7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4B504C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86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86542"/>
    <w:rPr>
      <w:rFonts w:ascii="Segoe UI" w:hAnsi="Segoe UI" w:cs="Segoe UI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E1F78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8F41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F417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6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r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pf@apk-fon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pf@apk-fond.ru" TargetMode="External"/><Relationship Id="rId5" Type="http://schemas.openxmlformats.org/officeDocument/2006/relationships/hyperlink" Target="http://www.apk-fond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6</Pages>
  <Words>2515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Gordeeva Yana</dc:creator>
  <cp:keywords/>
  <dc:description/>
  <cp:lastModifiedBy>Gordeeva Yana</cp:lastModifiedBy>
  <cp:revision>23</cp:revision>
  <dcterms:created xsi:type="dcterms:W3CDTF">2021-08-12T10:21:00Z</dcterms:created>
  <dcterms:modified xsi:type="dcterms:W3CDTF">2023-01-09T08:20:00Z</dcterms:modified>
</cp:coreProperties>
</file>